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both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天津市第二人民医院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2023年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2023年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numPr>
          <w:ilvl w:val="0"/>
          <w:numId w:val="1"/>
        </w:numPr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主要职责</w:t>
      </w:r>
      <w:bookmarkEnd w:id="1"/>
    </w:p>
    <w:p>
      <w:pPr>
        <w:spacing w:line="600" w:lineRule="exact"/>
        <w:ind w:firstLine="750" w:firstLineChars="2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天津市第二人民医院始建于1920年，现已发展为一所集医疗、教学、科研、预防、保健为一体，内、外、妇、儿全面发展，以肝病综合治疗为特色的三级甲等专科医院。</w:t>
      </w:r>
    </w:p>
    <w:p>
      <w:pPr>
        <w:spacing w:line="600" w:lineRule="exact"/>
        <w:ind w:firstLine="150" w:firstLineChars="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　　医院在肝癌、肝硬化诊疗方面拥有国际最先进的多学科协作团队。所有肝癌患者均经肝内科、介入科、超声消融科、肝外科、病理科等专家联合会诊，获得最合理的个体化综合治疗方案，进而达到最佳疗效，改善预后明显。医院诊治的病毒性肝炎患者人数在全国名列前茅，是天津及华北地区肝病诊疗的权威单位之一。</w:t>
      </w:r>
    </w:p>
    <w:p>
      <w:pPr>
        <w:spacing w:line="600" w:lineRule="exact"/>
        <w:ind w:firstLine="150" w:firstLineChars="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　　医院的传染病学科被确定为天津市临床优势学科、天津市优势领域学科、天津市重点发展学科。在儿科传染病的监测和治疗抢救等方面，达到国内领先或先进水平。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2" w:name="_Toc78784556"/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  <w:lang w:eastAsia="zh-CN"/>
        </w:rPr>
        <w:t>天津市第二人民医院</w:t>
      </w:r>
      <w:r>
        <w:rPr>
          <w:rFonts w:eastAsia="仿宋_GB2312"/>
          <w:sz w:val="30"/>
          <w:szCs w:val="30"/>
          <w:highlight w:val="none"/>
        </w:rPr>
        <w:t>内设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>21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个职能处室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sz w:val="30"/>
          <w:szCs w:val="30"/>
          <w:highlight w:val="none"/>
        </w:rPr>
        <w:t>党委办公室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组织科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宣传科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纪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委</w:t>
      </w:r>
      <w:r>
        <w:rPr>
          <w:rFonts w:hint="eastAsia" w:eastAsia="仿宋_GB2312"/>
          <w:sz w:val="30"/>
          <w:szCs w:val="30"/>
          <w:highlight w:val="none"/>
        </w:rPr>
        <w:t>办公室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院长办公室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人事科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财务物价科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医政科（应急办公室）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护理部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门诊办公室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医保科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审计科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科教科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保卫科（武装部）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总务科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网络信息科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感染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管理</w:t>
      </w:r>
      <w:r>
        <w:rPr>
          <w:rFonts w:hint="eastAsia" w:eastAsia="仿宋_GB2312"/>
          <w:sz w:val="30"/>
          <w:szCs w:val="30"/>
          <w:highlight w:val="none"/>
        </w:rPr>
        <w:t>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sz w:val="30"/>
          <w:szCs w:val="30"/>
          <w:highlight w:val="none"/>
        </w:rPr>
        <w:t>设备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物资</w:t>
      </w:r>
      <w:r>
        <w:rPr>
          <w:rFonts w:hint="eastAsia" w:eastAsia="仿宋_GB2312"/>
          <w:sz w:val="30"/>
          <w:szCs w:val="30"/>
          <w:highlight w:val="none"/>
        </w:rPr>
        <w:t>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、预防保健科、</w:t>
      </w:r>
      <w:r>
        <w:rPr>
          <w:rFonts w:hint="eastAsia" w:eastAsia="仿宋_GB2312"/>
          <w:sz w:val="30"/>
          <w:szCs w:val="30"/>
          <w:highlight w:val="none"/>
        </w:rPr>
        <w:t>医疗服务监管科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（行风管理办公室）、质量控制办公室</w:t>
      </w:r>
      <w:r>
        <w:rPr>
          <w:rFonts w:hint="eastAsia" w:eastAsia="仿宋_GB2312"/>
          <w:sz w:val="30"/>
          <w:szCs w:val="30"/>
          <w:highlight w:val="none"/>
        </w:rPr>
        <w:t>。</w:t>
      </w:r>
    </w:p>
    <w:p>
      <w:pPr>
        <w:spacing w:line="600" w:lineRule="exact"/>
        <w:ind w:firstLine="600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2023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按照综合预算的原则，</w:t>
      </w:r>
      <w:r>
        <w:rPr>
          <w:rFonts w:hint="eastAsia" w:eastAsia="仿宋_GB2312"/>
          <w:sz w:val="30"/>
          <w:szCs w:val="30"/>
          <w:lang w:eastAsia="zh-CN"/>
        </w:rPr>
        <w:t>天津市第二人民医院</w:t>
      </w:r>
      <w:r>
        <w:rPr>
          <w:rFonts w:hint="eastAsia" w:eastAsia="仿宋_GB2312"/>
          <w:sz w:val="30"/>
          <w:szCs w:val="30"/>
        </w:rPr>
        <w:t>所有收入和支出均纳入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41700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；支出包括：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1399.2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</w:rPr>
        <w:t>卫生健康支出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48442.1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lang w:eastAsia="zh-CN"/>
        </w:rPr>
        <w:t>天津市第二人民医院</w:t>
      </w:r>
      <w:r>
        <w:rPr>
          <w:rFonts w:hint="eastAsia" w:eastAsia="仿宋_GB2312"/>
          <w:sz w:val="30"/>
          <w:szCs w:val="30"/>
        </w:rPr>
        <w:t>2023年收支总预算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天津市第二人民医院2023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49841.3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1475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主要原因是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 xml:space="preserve"> 医疗业务较上年增加 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。</w:t>
      </w:r>
      <w:r>
        <w:rPr>
          <w:rFonts w:eastAsia="仿宋_GB2312"/>
          <w:sz w:val="30"/>
          <w:szCs w:val="30"/>
        </w:rPr>
        <w:t>其中：一般公共预算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15.73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%；事业收入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41700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83.67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天津市第二人民医院2023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1475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主要原因是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 xml:space="preserve"> 医疗业务较上年增加 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43922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88.12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%；项目支出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5919.3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11.88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天津市第二人民医院2023年财政拨款收入预算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1392.3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主要原因是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 xml:space="preserve"> 财政拨款收入较上年增加  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。</w:t>
      </w:r>
      <w:r>
        <w:rPr>
          <w:rFonts w:hint="eastAsia" w:eastAsia="仿宋_GB2312"/>
          <w:sz w:val="30"/>
          <w:szCs w:val="30"/>
        </w:rPr>
        <w:t>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。2023年财政拨款支出预算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1392.3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。支出包括：社会保障和就业支出</w:t>
      </w:r>
      <w:r>
        <w:rPr>
          <w:rFonts w:hint="eastAsia" w:eastAsia="仿宋_GB2312"/>
          <w:sz w:val="30"/>
          <w:szCs w:val="30"/>
          <w:u w:val="single"/>
        </w:rPr>
        <w:t>1399.2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万元、卫生健康支出 </w:t>
      </w:r>
      <w:r>
        <w:rPr>
          <w:rFonts w:hint="eastAsia" w:eastAsia="仿宋_GB2312"/>
          <w:sz w:val="30"/>
          <w:szCs w:val="30"/>
          <w:u w:val="single"/>
        </w:rPr>
        <w:t>6442.1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天津市第二人民医院2023年一般公共预算支出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7841.3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highlight w:val="none"/>
        </w:rPr>
        <w:t>与202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sz w:val="30"/>
          <w:szCs w:val="30"/>
          <w:highlight w:val="none"/>
        </w:rPr>
        <w:t>年预算相比增加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1392.3 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万</w:t>
      </w:r>
      <w:r>
        <w:rPr>
          <w:rFonts w:hint="eastAsia" w:eastAsia="仿宋_GB2312"/>
          <w:sz w:val="30"/>
          <w:szCs w:val="30"/>
          <w:highlight w:val="none"/>
        </w:rPr>
        <w:t>元，主要原因是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>一般公共预算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支出较上年增加  </w:t>
      </w:r>
      <w:r>
        <w:rPr>
          <w:rFonts w:hint="eastAsia" w:eastAsia="仿宋_GB2312"/>
          <w:sz w:val="30"/>
          <w:szCs w:val="30"/>
          <w:highlight w:val="none"/>
        </w:rPr>
        <w:t xml:space="preserve"> 。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2"/>
        </w:num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bookmarkStart w:id="9" w:name="_Toc78784576"/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1399.2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highlight w:val="none"/>
        </w:rPr>
        <w:t>与202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sz w:val="30"/>
          <w:szCs w:val="30"/>
          <w:highlight w:val="none"/>
        </w:rPr>
        <w:t>年预算相比增加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16.4 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万</w:t>
      </w:r>
      <w:r>
        <w:rPr>
          <w:rFonts w:hint="eastAsia" w:eastAsia="仿宋_GB2312"/>
          <w:sz w:val="30"/>
          <w:szCs w:val="30"/>
          <w:highlight w:val="none"/>
        </w:rPr>
        <w:t>元，主要原因是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>社会保障和就业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支出较上年增加 </w:t>
      </w:r>
      <w:r>
        <w:rPr>
          <w:rFonts w:hint="eastAsia" w:eastAsia="仿宋_GB2312"/>
          <w:sz w:val="30"/>
          <w:szCs w:val="30"/>
          <w:highlight w:val="none"/>
        </w:rPr>
        <w:t xml:space="preserve"> 。</w:t>
      </w:r>
      <w:r>
        <w:rPr>
          <w:rFonts w:eastAsia="仿宋_GB2312"/>
          <w:sz w:val="30"/>
          <w:szCs w:val="30"/>
        </w:rPr>
        <w:t>其中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行政事业单位养老支出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1399.2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机关事业单位基本养老保险缴费支出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932.8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机关事业单位职业年</w:t>
      </w:r>
      <w:bookmarkStart w:id="14" w:name="_GoBack"/>
      <w:bookmarkEnd w:id="14"/>
      <w:r>
        <w:rPr>
          <w:rFonts w:hint="eastAsia" w:eastAsia="仿宋_GB2312"/>
          <w:sz w:val="30"/>
          <w:szCs w:val="30"/>
          <w:lang w:eastAsia="zh-CN"/>
        </w:rPr>
        <w:t>金缴费支出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466.4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</w:t>
      </w:r>
    </w:p>
    <w:p>
      <w:pPr>
        <w:numPr>
          <w:ilvl w:val="0"/>
          <w:numId w:val="0"/>
        </w:numPr>
        <w:spacing w:line="58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卫生健康支出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6442.1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highlight w:val="none"/>
        </w:rPr>
        <w:t>与202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sz w:val="30"/>
          <w:szCs w:val="30"/>
          <w:highlight w:val="none"/>
        </w:rPr>
        <w:t>年预算相比增加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1414.94  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万</w:t>
      </w:r>
      <w:r>
        <w:rPr>
          <w:rFonts w:hint="eastAsia" w:eastAsia="仿宋_GB2312"/>
          <w:sz w:val="30"/>
          <w:szCs w:val="30"/>
          <w:highlight w:val="none"/>
        </w:rPr>
        <w:t>元，主要原因是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eastAsia="zh-CN"/>
        </w:rPr>
        <w:t>一般公共预算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支出较上年增加 </w:t>
      </w:r>
      <w:r>
        <w:rPr>
          <w:rFonts w:hint="eastAsia" w:eastAsia="仿宋_GB2312"/>
          <w:sz w:val="30"/>
          <w:szCs w:val="30"/>
          <w:highlight w:val="none"/>
        </w:rPr>
        <w:t xml:space="preserve"> 。</w:t>
      </w:r>
      <w:r>
        <w:rPr>
          <w:rFonts w:hint="eastAsia" w:eastAsia="仿宋_GB2312"/>
          <w:sz w:val="30"/>
          <w:szCs w:val="30"/>
          <w:lang w:eastAsia="zh-CN"/>
        </w:rPr>
        <w:t>其中“公立医院”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3176.2</w:t>
      </w:r>
      <w:r>
        <w:rPr>
          <w:rFonts w:hint="eastAsia" w:eastAsia="仿宋_GB2312"/>
          <w:sz w:val="30"/>
          <w:szCs w:val="30"/>
          <w:lang w:val="en-US" w:eastAsia="zh-CN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“公共卫生”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2988.8</w:t>
      </w:r>
      <w:r>
        <w:rPr>
          <w:rFonts w:hint="eastAsia" w:eastAsia="仿宋_GB2312"/>
          <w:sz w:val="30"/>
          <w:szCs w:val="30"/>
          <w:lang w:val="en-US" w:eastAsia="zh-CN"/>
        </w:rPr>
        <w:t>万元，“中医药”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万元，“行政事业单位医疗”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257.1</w:t>
      </w:r>
      <w:r>
        <w:rPr>
          <w:rFonts w:hint="eastAsia" w:eastAsia="仿宋_GB2312"/>
          <w:sz w:val="30"/>
          <w:szCs w:val="30"/>
          <w:lang w:val="en-US" w:eastAsia="zh-CN"/>
        </w:rPr>
        <w:t>万元。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天津市第二人民医院</w:t>
      </w:r>
      <w:r>
        <w:rPr>
          <w:rFonts w:eastAsia="仿宋_GB2312"/>
          <w:sz w:val="30"/>
          <w:szCs w:val="30"/>
          <w:highlight w:val="none"/>
        </w:rPr>
        <w:t>一般公共预算</w:t>
      </w:r>
      <w:r>
        <w:rPr>
          <w:rFonts w:hint="eastAsia" w:eastAsia="仿宋_GB2312"/>
          <w:sz w:val="30"/>
          <w:szCs w:val="30"/>
          <w:highlight w:val="none"/>
        </w:rPr>
        <w:t>基本支出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>1922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</w:rPr>
        <w:t>。</w:t>
      </w:r>
      <w:r>
        <w:rPr>
          <w:rFonts w:hint="eastAsia" w:eastAsia="仿宋_GB2312"/>
          <w:color w:val="auto"/>
          <w:sz w:val="30"/>
          <w:szCs w:val="30"/>
          <w:highlight w:val="none"/>
        </w:rPr>
        <w:t>与202</w:t>
      </w:r>
      <w:r>
        <w:rPr>
          <w:rFonts w:hint="eastAsia" w:eastAsia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color w:val="auto"/>
          <w:sz w:val="30"/>
          <w:szCs w:val="30"/>
          <w:highlight w:val="none"/>
        </w:rPr>
        <w:t>年预算相比增加</w:t>
      </w:r>
      <w:r>
        <w:rPr>
          <w:rFonts w:hint="eastAsia" w:eastAsia="仿宋_GB2312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47.4 </w:t>
      </w:r>
      <w:r>
        <w:rPr>
          <w:rFonts w:hint="eastAsia" w:eastAsia="仿宋_GB2312"/>
          <w:color w:val="auto"/>
          <w:sz w:val="30"/>
          <w:szCs w:val="30"/>
          <w:highlight w:val="none"/>
        </w:rPr>
        <w:t>万元，主要原因是</w:t>
      </w:r>
      <w:r>
        <w:rPr>
          <w:rFonts w:hint="eastAsia" w:eastAsia="仿宋_GB2312"/>
          <w:color w:val="auto"/>
          <w:sz w:val="30"/>
          <w:szCs w:val="30"/>
          <w:highlight w:val="none"/>
          <w:u w:val="single"/>
        </w:rPr>
        <w:t xml:space="preserve"> 一般公共预算</w:t>
      </w:r>
      <w:r>
        <w:rPr>
          <w:rFonts w:hint="eastAsia" w:eastAsia="仿宋_GB2312"/>
          <w:color w:val="auto"/>
          <w:sz w:val="30"/>
          <w:szCs w:val="30"/>
          <w:highlight w:val="none"/>
          <w:u w:val="single"/>
          <w:lang w:eastAsia="zh-CN"/>
        </w:rPr>
        <w:t>基本</w:t>
      </w:r>
      <w:r>
        <w:rPr>
          <w:rFonts w:hint="eastAsia" w:eastAsia="仿宋_GB2312"/>
          <w:color w:val="auto"/>
          <w:sz w:val="30"/>
          <w:szCs w:val="30"/>
          <w:highlight w:val="none"/>
          <w:u w:val="single"/>
        </w:rPr>
        <w:t xml:space="preserve">支出较上年增加 </w:t>
      </w:r>
      <w:r>
        <w:rPr>
          <w:rFonts w:hint="eastAsia" w:eastAsia="仿宋_GB2312"/>
          <w:color w:val="auto"/>
          <w:sz w:val="30"/>
          <w:szCs w:val="30"/>
          <w:highlight w:val="none"/>
        </w:rPr>
        <w:t>。</w:t>
      </w:r>
      <w:r>
        <w:rPr>
          <w:rFonts w:hint="eastAsia" w:eastAsia="仿宋_GB2312"/>
          <w:sz w:val="30"/>
          <w:szCs w:val="30"/>
          <w:highlight w:val="none"/>
        </w:rPr>
        <w:t>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1875.1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工资福利支出</w:t>
      </w:r>
      <w:r>
        <w:rPr>
          <w:rFonts w:hint="eastAsia" w:eastAsia="仿宋_GB2312"/>
          <w:sz w:val="30"/>
          <w:szCs w:val="30"/>
          <w:u w:val="single"/>
          <w:lang w:eastAsia="zh-CN"/>
        </w:rPr>
        <w:t>1632.2</w:t>
      </w:r>
      <w:r>
        <w:rPr>
          <w:rFonts w:hint="eastAsia" w:eastAsia="仿宋_GB2312"/>
          <w:sz w:val="30"/>
          <w:szCs w:val="30"/>
          <w:lang w:eastAsia="zh-CN"/>
        </w:rPr>
        <w:t>万元，对个人和家庭的补助</w:t>
      </w:r>
      <w:r>
        <w:rPr>
          <w:rFonts w:hint="eastAsia" w:eastAsia="仿宋_GB2312"/>
          <w:sz w:val="30"/>
          <w:szCs w:val="30"/>
          <w:u w:val="single"/>
          <w:lang w:eastAsia="zh-CN"/>
        </w:rPr>
        <w:t>242.9</w:t>
      </w:r>
      <w:r>
        <w:rPr>
          <w:rFonts w:hint="eastAsia" w:eastAsia="仿宋_GB2312"/>
          <w:sz w:val="30"/>
          <w:szCs w:val="30"/>
          <w:lang w:eastAsia="zh-CN"/>
        </w:rPr>
        <w:t>万元。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46.9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物业管理费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46.9</w:t>
      </w:r>
      <w:r>
        <w:rPr>
          <w:rFonts w:hint="eastAsia" w:eastAsia="仿宋_GB2312"/>
          <w:sz w:val="30"/>
          <w:szCs w:val="30"/>
          <w:lang w:val="en-US" w:eastAsia="zh-CN"/>
        </w:rPr>
        <w:t>万元。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>本</w:t>
      </w:r>
      <w:r>
        <w:rPr>
          <w:rFonts w:hint="eastAsia" w:eastAsia="楷体_GB2312"/>
          <w:sz w:val="30"/>
          <w:szCs w:val="30"/>
          <w:u w:val="single"/>
          <w:lang w:eastAsia="zh-CN"/>
        </w:rPr>
        <w:t>单位</w:t>
      </w:r>
      <w:r>
        <w:rPr>
          <w:rFonts w:hint="eastAsia" w:eastAsia="楷体_GB2312"/>
          <w:sz w:val="30"/>
          <w:szCs w:val="30"/>
          <w:u w:val="single"/>
        </w:rPr>
        <w:t>一般公共预算未安排“三公”经费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>本</w:t>
      </w:r>
      <w:r>
        <w:rPr>
          <w:rFonts w:hint="eastAsia" w:eastAsia="楷体_GB2312"/>
          <w:sz w:val="30"/>
          <w:szCs w:val="30"/>
          <w:u w:val="single"/>
          <w:lang w:eastAsia="zh-CN"/>
        </w:rPr>
        <w:t>单位</w:t>
      </w:r>
      <w:r>
        <w:rPr>
          <w:rFonts w:hint="eastAsia" w:eastAsia="楷体_GB2312"/>
          <w:sz w:val="30"/>
          <w:szCs w:val="30"/>
          <w:u w:val="single"/>
        </w:rPr>
        <w:t>一般公共预算未安排“三公”经费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>本</w:t>
      </w:r>
      <w:r>
        <w:rPr>
          <w:rFonts w:hint="eastAsia" w:eastAsia="楷体_GB2312"/>
          <w:sz w:val="30"/>
          <w:szCs w:val="30"/>
          <w:u w:val="single"/>
          <w:lang w:eastAsia="zh-CN"/>
        </w:rPr>
        <w:t>单位</w:t>
      </w:r>
      <w:r>
        <w:rPr>
          <w:rFonts w:hint="eastAsia" w:eastAsia="楷体_GB2312"/>
          <w:sz w:val="30"/>
          <w:szCs w:val="30"/>
          <w:u w:val="single"/>
        </w:rPr>
        <w:t>一般公共预算未安排“三公”经费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>本</w:t>
      </w:r>
      <w:r>
        <w:rPr>
          <w:rFonts w:hint="eastAsia" w:eastAsia="楷体_GB2312"/>
          <w:sz w:val="30"/>
          <w:szCs w:val="30"/>
          <w:u w:val="single"/>
          <w:lang w:eastAsia="zh-CN"/>
        </w:rPr>
        <w:t>单位</w:t>
      </w:r>
      <w:r>
        <w:rPr>
          <w:rFonts w:hint="eastAsia" w:eastAsia="楷体_GB2312"/>
          <w:sz w:val="30"/>
          <w:szCs w:val="30"/>
          <w:u w:val="single"/>
        </w:rPr>
        <w:t>一般公共预算未安排“三公”经费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</w:p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>本</w:t>
      </w:r>
      <w:r>
        <w:rPr>
          <w:rFonts w:hint="eastAsia" w:eastAsia="楷体_GB2312"/>
          <w:sz w:val="30"/>
          <w:szCs w:val="30"/>
          <w:u w:val="single"/>
          <w:lang w:eastAsia="zh-CN"/>
        </w:rPr>
        <w:t>单位</w:t>
      </w:r>
      <w:r>
        <w:rPr>
          <w:rFonts w:hint="eastAsia" w:eastAsia="楷体_GB2312"/>
          <w:sz w:val="30"/>
          <w:szCs w:val="30"/>
          <w:u w:val="single"/>
        </w:rPr>
        <w:t>一般公共预算未安排“三公”经费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2023年天津市第二人民医院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楷体"/>
          <w:sz w:val="30"/>
          <w:szCs w:val="30"/>
        </w:rPr>
        <w:t>预算中没有使用政府性基金预算安排的支出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1" w:name="_Toc78784578"/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2023年天津市第二人民医院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楷体"/>
          <w:sz w:val="30"/>
          <w:szCs w:val="30"/>
        </w:rPr>
        <w:t>预算中没有使用国有资本经营预算预算安排的支出。</w:t>
      </w:r>
    </w:p>
    <w:p/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年未安排机关运行经费</w:t>
      </w:r>
      <w:r>
        <w:rPr>
          <w:rFonts w:hint="eastAsia" w:eastAsia="楷体_GB2312"/>
          <w:sz w:val="30"/>
          <w:szCs w:val="30"/>
        </w:rPr>
        <w:t>预算</w:t>
      </w:r>
      <w:r>
        <w:rPr>
          <w:rFonts w:eastAsia="楷体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21301.38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18959.71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，主要为计算机、打印设备、空调、医疗设备、专用材料费等；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政府采购服务支出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2341.67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为物业管理服务、医疗设备租赁服务、维修服务等。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截至20</w:t>
      </w:r>
      <w:r>
        <w:rPr>
          <w:rFonts w:hint="eastAsia" w:eastAsia="仿宋_GB2312"/>
          <w:color w:val="auto"/>
          <w:sz w:val="30"/>
          <w:szCs w:val="30"/>
        </w:rPr>
        <w:t>2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2</w:t>
      </w:r>
      <w:r>
        <w:rPr>
          <w:rFonts w:eastAsia="仿宋_GB2312"/>
          <w:color w:val="auto"/>
          <w:sz w:val="30"/>
          <w:szCs w:val="30"/>
        </w:rPr>
        <w:t>年</w:t>
      </w:r>
      <w:r>
        <w:rPr>
          <w:rFonts w:hint="eastAsia" w:eastAsia="仿宋_GB2312"/>
          <w:color w:val="auto"/>
          <w:sz w:val="30"/>
          <w:szCs w:val="30"/>
        </w:rPr>
        <w:t>7月底</w:t>
      </w:r>
      <w:r>
        <w:rPr>
          <w:rFonts w:eastAsia="仿宋_GB2312"/>
          <w:color w:val="auto"/>
          <w:sz w:val="30"/>
          <w:szCs w:val="30"/>
        </w:rPr>
        <w:t>，</w:t>
      </w:r>
      <w:r>
        <w:rPr>
          <w:rFonts w:hint="eastAsia" w:eastAsia="仿宋_GB2312"/>
          <w:color w:val="auto"/>
          <w:sz w:val="30"/>
          <w:szCs w:val="30"/>
        </w:rPr>
        <w:t>本</w:t>
      </w:r>
      <w:r>
        <w:rPr>
          <w:rFonts w:eastAsia="仿宋_GB2312"/>
          <w:color w:val="auto"/>
          <w:sz w:val="30"/>
          <w:szCs w:val="30"/>
        </w:rPr>
        <w:t>部门各单位共有车辆</w:t>
      </w:r>
      <w:r>
        <w:rPr>
          <w:rFonts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color w:val="auto"/>
          <w:sz w:val="30"/>
          <w:szCs w:val="30"/>
          <w:u w:val="single"/>
        </w:rPr>
        <w:t xml:space="preserve"> </w:t>
      </w:r>
      <w:r>
        <w:rPr>
          <w:rFonts w:eastAsia="仿宋_GB2312"/>
          <w:color w:val="auto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辆、主要领导干部用车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辆、机要通信用车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辆、应急保障用车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辆、执法执勤用车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辆、特种专业技术用车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辆、离退休干部用车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辆，</w:t>
      </w:r>
      <w:r>
        <w:rPr>
          <w:rFonts w:ascii="仿宋_GB2312" w:eastAsia="仿宋_GB2312"/>
          <w:color w:val="auto"/>
          <w:sz w:val="30"/>
          <w:szCs w:val="30"/>
        </w:rPr>
        <w:t>其他用车主要包括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3辆保留车辆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单位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23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>
      <w:pPr>
        <w:spacing w:line="580" w:lineRule="exact"/>
        <w:ind w:left="151" w:leftChars="63" w:firstLine="450" w:firstLineChars="1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5919.3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预算。是指主管预算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依据相关法律、法规和政策规定及其行使职能需要，组织所属预算单位编制并逐级上报、审核、汇总，经财政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审核后按程序依法批准的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eastAsia="仿宋_GB2312"/>
          <w:sz w:val="30"/>
          <w:szCs w:val="30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2023年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1</w:t>
      </w:r>
      <w:r>
        <w:rPr>
          <w:rFonts w:hint="eastAsia" w:eastAsia="楷体_GB2312"/>
          <w:sz w:val="30"/>
          <w:szCs w:val="30"/>
        </w:rPr>
        <w:t>.本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hint="eastAsia" w:eastAsia="楷体_GB2312"/>
          <w:sz w:val="30"/>
          <w:szCs w:val="30"/>
        </w:rPr>
        <w:t>2023年一般公共预算“三公”经费支出情况表为空表。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2.</w:t>
      </w:r>
      <w:r>
        <w:rPr>
          <w:rFonts w:hint="eastAsia" w:eastAsia="楷体_GB2312"/>
          <w:sz w:val="30"/>
          <w:szCs w:val="30"/>
        </w:rPr>
        <w:t>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3.</w:t>
      </w:r>
      <w:r>
        <w:rPr>
          <w:rFonts w:hint="eastAsia" w:eastAsia="楷体_GB2312"/>
          <w:sz w:val="30"/>
          <w:szCs w:val="30"/>
        </w:rPr>
        <w:t>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国有资本经营预算支出情况表为空表”。</w:t>
      </w:r>
    </w:p>
    <w:p>
      <w:pPr>
        <w:spacing w:line="560" w:lineRule="exact"/>
        <w:rPr>
          <w:rFonts w:hint="eastAsia"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注：以上预算公开表均作为附表，附于预算公开说明文档后。</w:t>
      </w: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670A17"/>
    <w:multiLevelType w:val="singleLevel"/>
    <w:tmpl w:val="C7670A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gwZDU5MTUxZmQ5NTlmNjliZWM2Yjg3NzFjZjUifQ=="/>
    <w:docVar w:name="KSO_WPS_MARK_KEY" w:val="4fa0a402-00c8-4d6e-ade5-479e01d73934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617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762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E98778A"/>
    <w:rsid w:val="12DC3AAD"/>
    <w:rsid w:val="133E48F1"/>
    <w:rsid w:val="17885842"/>
    <w:rsid w:val="1B99573A"/>
    <w:rsid w:val="1D681DEC"/>
    <w:rsid w:val="1F576200"/>
    <w:rsid w:val="203B28D2"/>
    <w:rsid w:val="221B63A0"/>
    <w:rsid w:val="254C61EA"/>
    <w:rsid w:val="258A6A13"/>
    <w:rsid w:val="268758BC"/>
    <w:rsid w:val="26DF7271"/>
    <w:rsid w:val="29116E6F"/>
    <w:rsid w:val="2FEF290A"/>
    <w:rsid w:val="34945B3E"/>
    <w:rsid w:val="3557428F"/>
    <w:rsid w:val="3B64270E"/>
    <w:rsid w:val="3CC571DC"/>
    <w:rsid w:val="3D407E3C"/>
    <w:rsid w:val="3E111C7F"/>
    <w:rsid w:val="3FCB28EB"/>
    <w:rsid w:val="40956B0D"/>
    <w:rsid w:val="448D5B25"/>
    <w:rsid w:val="4B133808"/>
    <w:rsid w:val="4E1E02D7"/>
    <w:rsid w:val="4E8567CB"/>
    <w:rsid w:val="4F204931"/>
    <w:rsid w:val="512B1415"/>
    <w:rsid w:val="53D1600F"/>
    <w:rsid w:val="57923D07"/>
    <w:rsid w:val="5ADC7773"/>
    <w:rsid w:val="5C971CCA"/>
    <w:rsid w:val="5F380481"/>
    <w:rsid w:val="62FC3469"/>
    <w:rsid w:val="63490879"/>
    <w:rsid w:val="647730C7"/>
    <w:rsid w:val="64E91214"/>
    <w:rsid w:val="693A5856"/>
    <w:rsid w:val="6A2D5246"/>
    <w:rsid w:val="6B5A7319"/>
    <w:rsid w:val="6C062230"/>
    <w:rsid w:val="6DAC08B3"/>
    <w:rsid w:val="72C60041"/>
    <w:rsid w:val="73440153"/>
    <w:rsid w:val="73A82400"/>
    <w:rsid w:val="748F20DD"/>
    <w:rsid w:val="749E4B0E"/>
    <w:rsid w:val="77EFDD89"/>
    <w:rsid w:val="7ACE4ED2"/>
    <w:rsid w:val="7C32296F"/>
    <w:rsid w:val="7C620FDE"/>
    <w:rsid w:val="7DD12A33"/>
    <w:rsid w:val="7DD56596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</w:style>
  <w:style w:type="character" w:customStyle="1" w:styleId="13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5">
    <w:name w:val="批注框文本 Char"/>
    <w:link w:val="5"/>
    <w:qFormat/>
    <w:uiPriority w:val="0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paragraph" w:customStyle="1" w:styleId="17">
    <w:name w:val="Char Char"/>
    <w:basedOn w:val="4"/>
    <w:qFormat/>
    <w:uiPriority w:val="0"/>
    <w:pPr>
      <w:adjustRightInd/>
      <w:spacing w:line="240" w:lineRule="auto"/>
      <w:jc w:val="both"/>
      <w:textAlignment w:val="auto"/>
    </w:pPr>
  </w:style>
  <w:style w:type="paragraph" w:styleId="18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2811</Words>
  <Characters>3134</Characters>
  <Lines>34</Lines>
  <Paragraphs>9</Paragraphs>
  <TotalTime>2</TotalTime>
  <ScaleCrop>false</ScaleCrop>
  <LinksUpToDate>false</LinksUpToDate>
  <CharactersWithSpaces>3343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WPS_1545378281</cp:lastModifiedBy>
  <cp:lastPrinted>2022-01-18T17:13:00Z</cp:lastPrinted>
  <dcterms:modified xsi:type="dcterms:W3CDTF">2023-09-21T06:32:44Z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DE8EDE79B2C447BBBC43FB59D07D9BAF</vt:lpwstr>
  </property>
</Properties>
</file>