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55634">
      <w:pPr>
        <w:rPr>
          <w:sz w:val="28"/>
          <w:szCs w:val="28"/>
        </w:rPr>
      </w:pPr>
      <w:r>
        <w:rPr>
          <w:rFonts w:hint="eastAsia"/>
          <w:sz w:val="28"/>
          <w:szCs w:val="28"/>
        </w:rPr>
        <w:t>附件1</w:t>
      </w:r>
    </w:p>
    <w:p w14:paraId="2C3D3B5B">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项目需求书</w:t>
      </w:r>
    </w:p>
    <w:p w14:paraId="24783F27">
      <w:pPr>
        <w:spacing w:line="360" w:lineRule="auto"/>
        <w:rPr>
          <w:rFonts w:ascii="宋体" w:hAnsi="宋体" w:eastAsia="宋体" w:cs="Times New Roman"/>
          <w:sz w:val="24"/>
          <w:szCs w:val="24"/>
        </w:rPr>
      </w:pPr>
      <w:r>
        <w:rPr>
          <w:rFonts w:hint="eastAsia" w:ascii="宋体" w:hAnsi="宋体" w:eastAsia="宋体" w:cs="Times New Roman"/>
          <w:sz w:val="24"/>
          <w:szCs w:val="24"/>
        </w:rPr>
        <w:t>一、项目背景</w:t>
      </w:r>
    </w:p>
    <w:p w14:paraId="230D187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血管疾病是威胁我国国民健康的首要疾病，急性冠脉综合征ACS具有“隐匿性”和“突发性”的特点，及时的心电检查和诊断服务有助于快速发现和及时诊断ACS。心电图是医院必备的检查项目之一，在心律失常和心肌梗死等方面具备其他检查方法不能替代的作用。</w:t>
      </w:r>
    </w:p>
    <w:p w14:paraId="3391B0D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当前院内配备的心电图机设备品牌多样化、单机化，心电检查业务仍沿用单机工作、单机输出的工作模式，没能用信息化手段提升心电检查的效率，心电数据无法集中统一存储并全院共享，心电电生理检查没有规范的业务管理流程，心电图报告质量无法有效质控。</w:t>
      </w:r>
    </w:p>
    <w:p w14:paraId="6919FB8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目前医院静态心电图工作站故障频发，严重影响心电检查报告的单机存储。</w:t>
      </w:r>
    </w:p>
    <w:p w14:paraId="405952C1">
      <w:pPr>
        <w:spacing w:line="360" w:lineRule="auto"/>
        <w:rPr>
          <w:rFonts w:ascii="宋体" w:hAnsi="宋体" w:eastAsia="宋体" w:cs="Times New Roman"/>
          <w:sz w:val="24"/>
          <w:szCs w:val="24"/>
        </w:rPr>
      </w:pPr>
      <w:r>
        <w:rPr>
          <w:rFonts w:hint="eastAsia" w:ascii="宋体" w:hAnsi="宋体" w:eastAsia="宋体" w:cs="Times New Roman"/>
          <w:sz w:val="24"/>
          <w:szCs w:val="24"/>
        </w:rPr>
        <w:t>二、商务需求</w:t>
      </w:r>
    </w:p>
    <w:tbl>
      <w:tblPr>
        <w:tblStyle w:val="2"/>
        <w:tblW w:w="473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15"/>
        <w:gridCol w:w="868"/>
        <w:gridCol w:w="3032"/>
        <w:gridCol w:w="966"/>
        <w:gridCol w:w="2681"/>
      </w:tblGrid>
      <w:tr w14:paraId="110A7C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319" w:type="pct"/>
            <w:vAlign w:val="center"/>
          </w:tcPr>
          <w:p w14:paraId="67FB68E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538" w:type="pct"/>
            <w:vAlign w:val="center"/>
          </w:tcPr>
          <w:p w14:paraId="29C0D5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需求条款</w:t>
            </w:r>
          </w:p>
        </w:tc>
        <w:tc>
          <w:tcPr>
            <w:tcW w:w="1880" w:type="pct"/>
            <w:vAlign w:val="center"/>
          </w:tcPr>
          <w:p w14:paraId="080F698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具体要求</w:t>
            </w:r>
          </w:p>
        </w:tc>
        <w:tc>
          <w:tcPr>
            <w:tcW w:w="599" w:type="pct"/>
            <w:vAlign w:val="center"/>
          </w:tcPr>
          <w:p w14:paraId="785123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是否为实质性条款</w:t>
            </w:r>
          </w:p>
        </w:tc>
        <w:tc>
          <w:tcPr>
            <w:tcW w:w="1662" w:type="pct"/>
            <w:vAlign w:val="center"/>
          </w:tcPr>
          <w:p w14:paraId="5D9162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原因说明（实质性条款需列明原因）</w:t>
            </w:r>
          </w:p>
        </w:tc>
      </w:tr>
      <w:tr w14:paraId="7239A3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319" w:type="pct"/>
            <w:vAlign w:val="center"/>
          </w:tcPr>
          <w:p w14:paraId="1EEC288D">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38" w:type="pct"/>
            <w:vAlign w:val="center"/>
          </w:tcPr>
          <w:p w14:paraId="053ED41C">
            <w:pPr>
              <w:widowControl/>
              <w:jc w:val="center"/>
              <w:rPr>
                <w:rFonts w:ascii="宋体" w:hAnsi="宋体" w:eastAsia="宋体" w:cs="宋体"/>
                <w:color w:val="000000"/>
                <w:kern w:val="0"/>
                <w:sz w:val="24"/>
                <w:szCs w:val="24"/>
              </w:rPr>
            </w:pPr>
            <w:r>
              <w:rPr>
                <w:rFonts w:hint="eastAsia" w:ascii="宋体" w:hAnsi="宋体" w:eastAsia="宋体" w:cs="Times New Roman"/>
                <w:color w:val="000000"/>
                <w:sz w:val="24"/>
                <w:szCs w:val="24"/>
              </w:rPr>
              <w:t>实质性资格要求</w:t>
            </w:r>
          </w:p>
        </w:tc>
        <w:tc>
          <w:tcPr>
            <w:tcW w:w="1880" w:type="pct"/>
            <w:vAlign w:val="center"/>
          </w:tcPr>
          <w:p w14:paraId="2F328263">
            <w:pPr>
              <w:numPr>
                <w:ilvl w:val="0"/>
                <w:numId w:val="1"/>
              </w:numPr>
              <w:snapToGrid w:val="0"/>
              <w:spacing w:before="120" w:after="120" w:line="360" w:lineRule="auto"/>
              <w:ind w:firstLine="420" w:firstLineChars="200"/>
              <w:rPr>
                <w:rFonts w:ascii="宋体" w:hAnsi="宋体" w:eastAsia="宋体" w:cs="宋体"/>
                <w:szCs w:val="24"/>
              </w:rPr>
            </w:pPr>
            <w:r>
              <w:rPr>
                <w:rFonts w:hint="eastAsia" w:ascii="宋体" w:hAnsi="宋体" w:eastAsia="宋体" w:cs="宋体"/>
                <w:szCs w:val="24"/>
              </w:rPr>
              <w:t>营业执照副本或事业单位法人证书或民办非企业单位登记证书或社会团体法人登记证书或基金会法人登记证书，提供复印件并加盖公章。</w:t>
            </w:r>
          </w:p>
          <w:p w14:paraId="3B98C19F">
            <w:pPr>
              <w:snapToGrid w:val="0"/>
              <w:spacing w:line="360" w:lineRule="auto"/>
              <w:ind w:firstLine="420" w:firstLineChars="200"/>
              <w:rPr>
                <w:rFonts w:ascii="宋体" w:hAnsi="宋体" w:eastAsia="宋体" w:cs="宋体"/>
                <w:szCs w:val="24"/>
              </w:rPr>
            </w:pPr>
            <w:r>
              <w:rPr>
                <w:rFonts w:hint="eastAsia" w:ascii="宋体" w:hAnsi="宋体" w:eastAsia="宋体" w:cs="宋体"/>
                <w:szCs w:val="24"/>
              </w:rPr>
              <w:t>（2）经会计师事务所出具的2023年度审计报告原件（或复印件加盖公章）或磋商前2个月以内银行出具的针对此项目开具的资信证明原件（或复印件加盖公章）。</w:t>
            </w:r>
          </w:p>
          <w:p w14:paraId="71BF811E">
            <w:pPr>
              <w:snapToGrid w:val="0"/>
              <w:spacing w:line="360" w:lineRule="auto"/>
              <w:ind w:firstLine="420" w:firstLineChars="200"/>
              <w:rPr>
                <w:rFonts w:ascii="宋体" w:hAnsi="宋体" w:eastAsia="宋体" w:cs="宋体"/>
                <w:szCs w:val="24"/>
              </w:rPr>
            </w:pPr>
            <w:r>
              <w:rPr>
                <w:rFonts w:hint="eastAsia" w:ascii="宋体" w:hAnsi="宋体" w:eastAsia="宋体" w:cs="宋体"/>
                <w:szCs w:val="24"/>
              </w:rPr>
              <w:t>（3）供应商须提供2024年01月01日起至响应文件递交截止时间止任意一个月的依法缴纳税收相关证明材料。</w:t>
            </w:r>
          </w:p>
          <w:p w14:paraId="3E004F77">
            <w:pPr>
              <w:snapToGrid w:val="0"/>
              <w:spacing w:line="360" w:lineRule="auto"/>
              <w:ind w:firstLine="420" w:firstLineChars="200"/>
              <w:rPr>
                <w:rFonts w:ascii="宋体" w:hAnsi="宋体" w:eastAsia="宋体" w:cs="宋体"/>
                <w:szCs w:val="24"/>
              </w:rPr>
            </w:pPr>
            <w:r>
              <w:rPr>
                <w:rFonts w:hint="eastAsia" w:ascii="宋体" w:hAnsi="宋体" w:eastAsia="宋体" w:cs="宋体"/>
                <w:szCs w:val="24"/>
              </w:rPr>
              <w:t xml:space="preserve">注：纳税零申报供应商应当按照以下方式提供相应证明文件：a加盖受理章后的税务大厅零申报报表或无欠税证明；b网络申报截图加盖供应商公章 </w:t>
            </w:r>
          </w:p>
          <w:p w14:paraId="0F9EBB81">
            <w:pPr>
              <w:snapToGrid w:val="0"/>
              <w:spacing w:line="360" w:lineRule="auto"/>
              <w:ind w:firstLine="420" w:firstLineChars="200"/>
              <w:rPr>
                <w:rFonts w:ascii="宋体" w:hAnsi="宋体" w:eastAsia="宋体" w:cs="宋体"/>
                <w:szCs w:val="24"/>
              </w:rPr>
            </w:pPr>
            <w:r>
              <w:rPr>
                <w:rFonts w:hint="eastAsia" w:ascii="宋体" w:hAnsi="宋体" w:eastAsia="宋体" w:cs="宋体"/>
                <w:szCs w:val="24"/>
              </w:rPr>
              <w:t>（4）供应商须提供2024年01月01日起至响应文件递交截止时间止任意一个月的社会保险缴纳的相关证明材料。</w:t>
            </w:r>
          </w:p>
          <w:p w14:paraId="5E4F045B">
            <w:pPr>
              <w:snapToGrid w:val="0"/>
              <w:spacing w:line="360" w:lineRule="auto"/>
              <w:ind w:firstLine="420" w:firstLineChars="200"/>
              <w:rPr>
                <w:rFonts w:ascii="宋体" w:hAnsi="宋体" w:eastAsia="宋体" w:cs="宋体"/>
                <w:szCs w:val="24"/>
              </w:rPr>
            </w:pPr>
            <w:r>
              <w:rPr>
                <w:rFonts w:hint="eastAsia" w:ascii="宋体" w:hAnsi="宋体" w:eastAsia="宋体" w:cs="宋体"/>
                <w:szCs w:val="24"/>
              </w:rPr>
              <w:t>（5）供应商须由法定代表人或其委托代理人参加磋商仪式，供应商若为法定代表人磋商，须提供法定代表人身份证明书（需由法定代表人签字或盖章）和法定代表人身份证原件；供应商若为被授权人磋商，须提供法人代表授权书（需由法定代表人签字或盖章）和被授权人身份证原件。</w:t>
            </w:r>
          </w:p>
          <w:p w14:paraId="5306DA13">
            <w:pPr>
              <w:snapToGrid w:val="0"/>
              <w:spacing w:line="360" w:lineRule="auto"/>
              <w:ind w:firstLine="420" w:firstLineChars="200"/>
              <w:rPr>
                <w:rFonts w:ascii="宋体" w:hAnsi="宋体" w:eastAsia="宋体" w:cs="宋体"/>
                <w:szCs w:val="24"/>
              </w:rPr>
            </w:pPr>
            <w:r>
              <w:rPr>
                <w:rFonts w:hint="eastAsia" w:ascii="宋体" w:hAnsi="宋体" w:eastAsia="宋体" w:cs="宋体"/>
                <w:szCs w:val="24"/>
              </w:rPr>
              <w:t>（6）供应商须提供参加政府采购活动前3年内在经营活动中没有重大违法记录的书面声明（截至提交响应文件截止日成立不足3年的供应商可提供自成立以来无重大违法记录的书面声明）。</w:t>
            </w:r>
          </w:p>
          <w:p w14:paraId="31C72CFA">
            <w:pPr>
              <w:snapToGrid w:val="0"/>
              <w:spacing w:line="360" w:lineRule="auto"/>
              <w:ind w:firstLine="420" w:firstLineChars="200"/>
              <w:rPr>
                <w:rFonts w:ascii="宋体" w:hAnsi="宋体" w:eastAsia="宋体" w:cs="宋体"/>
                <w:szCs w:val="24"/>
              </w:rPr>
            </w:pPr>
            <w:r>
              <w:rPr>
                <w:rFonts w:hint="eastAsia" w:ascii="宋体" w:hAnsi="宋体" w:eastAsia="宋体" w:cs="宋体"/>
                <w:szCs w:val="24"/>
              </w:rPr>
              <w:t>（7）提供有效期内的医疗器械注册证，并加盖公章。</w:t>
            </w:r>
          </w:p>
          <w:p w14:paraId="00FDB41F">
            <w:pPr>
              <w:widowControl/>
              <w:jc w:val="left"/>
              <w:rPr>
                <w:rFonts w:ascii="宋体" w:hAnsi="宋体" w:eastAsia="宋体" w:cs="宋体"/>
                <w:color w:val="000000"/>
                <w:kern w:val="0"/>
                <w:sz w:val="24"/>
                <w:szCs w:val="24"/>
              </w:rPr>
            </w:pPr>
          </w:p>
        </w:tc>
        <w:tc>
          <w:tcPr>
            <w:tcW w:w="599" w:type="pct"/>
          </w:tcPr>
          <w:p w14:paraId="20ACD02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w:t>
            </w:r>
          </w:p>
        </w:tc>
        <w:tc>
          <w:tcPr>
            <w:tcW w:w="1662" w:type="pct"/>
            <w:vAlign w:val="center"/>
          </w:tcPr>
          <w:p w14:paraId="31E321F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确保所投产品符合国家质量技术监督管理局规定，保证产品质量过关。</w:t>
            </w:r>
          </w:p>
        </w:tc>
      </w:tr>
      <w:tr w14:paraId="7F65A5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319" w:type="pct"/>
            <w:vAlign w:val="center"/>
          </w:tcPr>
          <w:p w14:paraId="7968683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538" w:type="pct"/>
            <w:vAlign w:val="center"/>
          </w:tcPr>
          <w:p w14:paraId="1E6BF896">
            <w:pPr>
              <w:widowControl/>
              <w:jc w:val="center"/>
              <w:rPr>
                <w:rFonts w:ascii="宋体" w:hAnsi="宋体" w:eastAsia="宋体" w:cs="宋体"/>
                <w:kern w:val="0"/>
                <w:sz w:val="24"/>
                <w:szCs w:val="24"/>
              </w:rPr>
            </w:pPr>
            <w:r>
              <w:rPr>
                <w:rFonts w:hint="eastAsia" w:ascii="宋体" w:hAnsi="宋体" w:eastAsia="宋体" w:cs="宋体"/>
                <w:kern w:val="0"/>
                <w:sz w:val="24"/>
                <w:szCs w:val="24"/>
              </w:rPr>
              <w:t>服务需求</w:t>
            </w:r>
          </w:p>
        </w:tc>
        <w:tc>
          <w:tcPr>
            <w:tcW w:w="1880" w:type="pct"/>
            <w:vAlign w:val="center"/>
          </w:tcPr>
          <w:p w14:paraId="4EC68C8A">
            <w:pPr>
              <w:spacing w:before="120" w:after="120" w:line="360" w:lineRule="auto"/>
              <w:ind w:firstLine="240" w:firstLineChars="100"/>
              <w:rPr>
                <w:rFonts w:ascii="宋体" w:hAnsi="宋体" w:eastAsia="宋体" w:cs="宋体"/>
                <w:sz w:val="24"/>
                <w:szCs w:val="24"/>
              </w:rPr>
            </w:pPr>
            <w:r>
              <w:rPr>
                <w:rFonts w:hint="eastAsia" w:ascii="宋体" w:hAnsi="宋体" w:eastAsia="宋体" w:cs="宋体"/>
                <w:sz w:val="24"/>
                <w:szCs w:val="24"/>
              </w:rPr>
              <w:t>1、服务期：自合同签订后90日历天内完成安装、系统调试、通过验收，并投入正常运行。</w:t>
            </w:r>
          </w:p>
          <w:p w14:paraId="0E93B873">
            <w:pPr>
              <w:autoSpaceDE w:val="0"/>
              <w:autoSpaceDN w:val="0"/>
              <w:adjustRightInd w:val="0"/>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2、服务地点：天津市第二人民医院（</w:t>
            </w:r>
            <w:r>
              <w:rPr>
                <w:rFonts w:hint="eastAsia" w:ascii="宋体" w:hAnsi="宋体" w:eastAsia="宋体" w:cs="等线"/>
                <w:sz w:val="24"/>
                <w:szCs w:val="24"/>
              </w:rPr>
              <w:t>具体情况以签订合同为准</w:t>
            </w:r>
            <w:r>
              <w:rPr>
                <w:rFonts w:hint="eastAsia" w:ascii="宋体" w:hAnsi="宋体" w:eastAsia="宋体" w:cs="宋体"/>
                <w:sz w:val="24"/>
                <w:szCs w:val="24"/>
              </w:rPr>
              <w:t>）。</w:t>
            </w:r>
          </w:p>
          <w:p w14:paraId="2E573189">
            <w:pPr>
              <w:widowControl/>
              <w:spacing w:line="360" w:lineRule="auto"/>
              <w:ind w:firstLine="240" w:firstLineChars="100"/>
              <w:jc w:val="left"/>
              <w:rPr>
                <w:rFonts w:ascii="宋体" w:hAnsi="宋体" w:eastAsia="宋体" w:cs="Times New Roman"/>
                <w:sz w:val="24"/>
                <w:szCs w:val="24"/>
              </w:rPr>
            </w:pPr>
            <w:r>
              <w:rPr>
                <w:rFonts w:hint="eastAsia" w:ascii="宋体" w:hAnsi="宋体" w:eastAsia="宋体" w:cs="等线"/>
                <w:sz w:val="24"/>
                <w:szCs w:val="24"/>
              </w:rPr>
              <w:t>3、服务质保期：</w:t>
            </w:r>
            <w:r>
              <w:rPr>
                <w:rFonts w:hint="eastAsia" w:ascii="宋体" w:hAnsi="宋体" w:eastAsia="宋体" w:cs="Times New Roman"/>
                <w:sz w:val="24"/>
                <w:szCs w:val="24"/>
              </w:rPr>
              <w:t>维保服务，系统验收合格后需提供一年免费运维服务。</w:t>
            </w:r>
          </w:p>
          <w:p w14:paraId="1E395ED1">
            <w:pPr>
              <w:tabs>
                <w:tab w:val="left" w:pos="1208"/>
              </w:tabs>
              <w:spacing w:before="58" w:line="360" w:lineRule="auto"/>
              <w:ind w:firstLine="240" w:firstLineChars="100"/>
              <w:outlineLvl w:val="1"/>
              <w:rPr>
                <w:rFonts w:ascii="宋体" w:hAnsi="宋体" w:eastAsia="宋体" w:cs="Times New Roman"/>
                <w:sz w:val="24"/>
                <w:szCs w:val="24"/>
              </w:rPr>
            </w:pPr>
            <w:r>
              <w:rPr>
                <w:rFonts w:hint="eastAsia" w:ascii="宋体" w:hAnsi="宋体" w:eastAsia="宋体" w:cs="Times New Roman"/>
                <w:sz w:val="24"/>
                <w:szCs w:val="24"/>
              </w:rPr>
              <w:t>4、质量要求：</w:t>
            </w:r>
            <w:r>
              <w:rPr>
                <w:rFonts w:ascii="宋体" w:hAnsi="宋体" w:eastAsia="宋体" w:cs="Times New Roman"/>
                <w:sz w:val="24"/>
                <w:szCs w:val="24"/>
              </w:rPr>
              <w:t>达到国家相关法律、法规</w:t>
            </w:r>
            <w:r>
              <w:rPr>
                <w:rFonts w:hint="eastAsia" w:ascii="宋体" w:hAnsi="宋体" w:eastAsia="宋体" w:cs="Times New Roman"/>
                <w:sz w:val="24"/>
                <w:szCs w:val="24"/>
              </w:rPr>
              <w:t>及行业相关</w:t>
            </w:r>
            <w:r>
              <w:rPr>
                <w:rFonts w:ascii="宋体" w:hAnsi="宋体" w:eastAsia="宋体" w:cs="Times New Roman"/>
                <w:sz w:val="24"/>
                <w:szCs w:val="24"/>
              </w:rPr>
              <w:t>规定的生产、制造、验收合格标准</w:t>
            </w:r>
            <w:r>
              <w:rPr>
                <w:rFonts w:hint="eastAsia" w:ascii="宋体" w:hAnsi="宋体" w:eastAsia="宋体" w:cs="Times New Roman"/>
                <w:sz w:val="24"/>
                <w:szCs w:val="24"/>
              </w:rPr>
              <w:t>,满足招标人需求。</w:t>
            </w:r>
          </w:p>
          <w:p w14:paraId="78AC801F">
            <w:pPr>
              <w:spacing w:before="120" w:after="120"/>
              <w:ind w:firstLine="240" w:firstLineChars="100"/>
              <w:rPr>
                <w:rFonts w:ascii="宋体" w:hAnsi="宋体" w:eastAsia="宋体" w:cs="宋体"/>
                <w:sz w:val="24"/>
                <w:szCs w:val="24"/>
              </w:rPr>
            </w:pPr>
            <w:r>
              <w:rPr>
                <w:rFonts w:hint="eastAsia" w:ascii="宋体" w:hAnsi="宋体" w:eastAsia="宋体" w:cs="等线"/>
                <w:sz w:val="24"/>
                <w:szCs w:val="24"/>
              </w:rPr>
              <w:t>5、服务内容</w:t>
            </w:r>
            <w:r>
              <w:rPr>
                <w:rFonts w:hint="eastAsia" w:ascii="宋体" w:hAnsi="宋体" w:eastAsia="宋体" w:cs="宋体"/>
                <w:sz w:val="24"/>
                <w:szCs w:val="24"/>
              </w:rPr>
              <w:t>：具体要求详见项目技术需求</w:t>
            </w:r>
          </w:p>
          <w:p w14:paraId="5A45DC66">
            <w:pPr>
              <w:widowControl/>
              <w:jc w:val="left"/>
              <w:rPr>
                <w:rFonts w:ascii="宋体" w:hAnsi="宋体" w:eastAsia="宋体" w:cs="宋体"/>
                <w:kern w:val="0"/>
                <w:sz w:val="24"/>
                <w:szCs w:val="24"/>
              </w:rPr>
            </w:pPr>
          </w:p>
        </w:tc>
        <w:tc>
          <w:tcPr>
            <w:tcW w:w="599" w:type="pct"/>
            <w:vAlign w:val="center"/>
          </w:tcPr>
          <w:p w14:paraId="22AAED0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否</w:t>
            </w:r>
          </w:p>
        </w:tc>
        <w:tc>
          <w:tcPr>
            <w:tcW w:w="1662" w:type="pct"/>
            <w:vAlign w:val="center"/>
          </w:tcPr>
          <w:p w14:paraId="34F5FBAE">
            <w:pPr>
              <w:widowControl/>
              <w:jc w:val="center"/>
              <w:rPr>
                <w:rFonts w:ascii="宋体" w:hAnsi="宋体" w:eastAsia="宋体" w:cs="宋体"/>
                <w:color w:val="000000"/>
                <w:kern w:val="0"/>
                <w:sz w:val="24"/>
                <w:szCs w:val="24"/>
              </w:rPr>
            </w:pPr>
          </w:p>
        </w:tc>
      </w:tr>
      <w:tr w14:paraId="0D31C6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319" w:type="pct"/>
            <w:vAlign w:val="center"/>
          </w:tcPr>
          <w:p w14:paraId="3682D7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538" w:type="pct"/>
            <w:vAlign w:val="center"/>
          </w:tcPr>
          <w:p w14:paraId="3C93BA0A">
            <w:pPr>
              <w:jc w:val="center"/>
              <w:rPr>
                <w:rFonts w:ascii="宋体" w:hAnsi="宋体" w:eastAsia="宋体" w:cs="宋体"/>
                <w:kern w:val="0"/>
                <w:sz w:val="24"/>
                <w:szCs w:val="24"/>
              </w:rPr>
            </w:pPr>
            <w:r>
              <w:rPr>
                <w:rFonts w:hint="eastAsia" w:ascii="宋体" w:hAnsi="宋体" w:eastAsia="宋体" w:cs="Times New Roman"/>
                <w:sz w:val="24"/>
                <w:szCs w:val="24"/>
              </w:rPr>
              <w:t>交货期</w:t>
            </w:r>
          </w:p>
        </w:tc>
        <w:tc>
          <w:tcPr>
            <w:tcW w:w="1880" w:type="pct"/>
            <w:vAlign w:val="center"/>
          </w:tcPr>
          <w:p w14:paraId="3BB7A199">
            <w:pPr>
              <w:jc w:val="left"/>
              <w:rPr>
                <w:rFonts w:ascii="宋体" w:hAnsi="宋体" w:eastAsia="宋体" w:cs="Times New Roman"/>
                <w:sz w:val="24"/>
                <w:szCs w:val="24"/>
              </w:rPr>
            </w:pPr>
            <w:r>
              <w:rPr>
                <w:rFonts w:hint="eastAsia" w:ascii="宋体" w:hAnsi="宋体" w:eastAsia="宋体" w:cs="Times New Roman"/>
                <w:sz w:val="24"/>
                <w:szCs w:val="24"/>
              </w:rPr>
              <w:t>货到：签订合同之日起7个工作日内（特殊情况以合同为准）。</w:t>
            </w:r>
          </w:p>
          <w:p w14:paraId="776A980B">
            <w:pPr>
              <w:jc w:val="left"/>
              <w:rPr>
                <w:rFonts w:ascii="宋体" w:hAnsi="宋体" w:eastAsia="宋体" w:cs="宋体"/>
                <w:kern w:val="0"/>
                <w:sz w:val="24"/>
                <w:szCs w:val="24"/>
              </w:rPr>
            </w:pPr>
            <w:r>
              <w:rPr>
                <w:rFonts w:hint="eastAsia" w:ascii="宋体" w:hAnsi="宋体" w:eastAsia="宋体" w:cs="Times New Roman"/>
                <w:sz w:val="24"/>
                <w:szCs w:val="24"/>
              </w:rPr>
              <w:t>安装（施工）完成：货到之日起90个工作日内（特殊情况以合同为准）。</w:t>
            </w:r>
          </w:p>
        </w:tc>
        <w:tc>
          <w:tcPr>
            <w:tcW w:w="599" w:type="pct"/>
            <w:vAlign w:val="center"/>
          </w:tcPr>
          <w:p w14:paraId="7656793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否</w:t>
            </w:r>
          </w:p>
        </w:tc>
        <w:tc>
          <w:tcPr>
            <w:tcW w:w="1662" w:type="pct"/>
            <w:vAlign w:val="center"/>
          </w:tcPr>
          <w:p w14:paraId="4746F627">
            <w:pPr>
              <w:widowControl/>
              <w:jc w:val="center"/>
              <w:rPr>
                <w:rFonts w:ascii="宋体" w:hAnsi="宋体" w:eastAsia="宋体" w:cs="宋体"/>
                <w:color w:val="000000"/>
                <w:kern w:val="0"/>
                <w:sz w:val="24"/>
                <w:szCs w:val="24"/>
              </w:rPr>
            </w:pPr>
          </w:p>
        </w:tc>
      </w:tr>
      <w:tr w14:paraId="41B476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319" w:type="pct"/>
            <w:vAlign w:val="center"/>
          </w:tcPr>
          <w:p w14:paraId="2716EA9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538" w:type="pct"/>
            <w:vAlign w:val="center"/>
          </w:tcPr>
          <w:p w14:paraId="5C0B163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其他要求</w:t>
            </w:r>
          </w:p>
        </w:tc>
        <w:tc>
          <w:tcPr>
            <w:tcW w:w="1880" w:type="pct"/>
            <w:vAlign w:val="center"/>
          </w:tcPr>
          <w:p w14:paraId="7D828008">
            <w:pPr>
              <w:widowControl/>
              <w:jc w:val="left"/>
              <w:rPr>
                <w:rFonts w:ascii="宋体" w:hAnsi="宋体" w:eastAsia="宋体" w:cs="宋体"/>
                <w:color w:val="000000"/>
                <w:kern w:val="0"/>
                <w:sz w:val="24"/>
                <w:szCs w:val="24"/>
              </w:rPr>
            </w:pPr>
          </w:p>
        </w:tc>
        <w:tc>
          <w:tcPr>
            <w:tcW w:w="599" w:type="pct"/>
            <w:vAlign w:val="center"/>
          </w:tcPr>
          <w:p w14:paraId="3462A955">
            <w:pPr>
              <w:widowControl/>
              <w:jc w:val="center"/>
              <w:rPr>
                <w:rFonts w:ascii="宋体" w:hAnsi="宋体" w:eastAsia="宋体" w:cs="宋体"/>
                <w:color w:val="000000"/>
                <w:kern w:val="0"/>
                <w:sz w:val="24"/>
                <w:szCs w:val="24"/>
              </w:rPr>
            </w:pPr>
          </w:p>
        </w:tc>
        <w:tc>
          <w:tcPr>
            <w:tcW w:w="1662" w:type="pct"/>
            <w:vAlign w:val="center"/>
          </w:tcPr>
          <w:p w14:paraId="79EB8081">
            <w:pPr>
              <w:widowControl/>
              <w:jc w:val="center"/>
              <w:rPr>
                <w:rFonts w:ascii="宋体" w:hAnsi="宋体" w:eastAsia="宋体" w:cs="宋体"/>
                <w:color w:val="000000"/>
                <w:kern w:val="0"/>
                <w:sz w:val="24"/>
                <w:szCs w:val="24"/>
              </w:rPr>
            </w:pPr>
          </w:p>
        </w:tc>
      </w:tr>
    </w:tbl>
    <w:p w14:paraId="0742DEF9">
      <w:pPr>
        <w:spacing w:line="360" w:lineRule="auto"/>
        <w:rPr>
          <w:rFonts w:ascii="宋体" w:hAnsi="宋体" w:eastAsia="宋体" w:cs="Times New Roman"/>
          <w:sz w:val="24"/>
          <w:szCs w:val="24"/>
        </w:rPr>
      </w:pPr>
      <w:r>
        <w:rPr>
          <w:rFonts w:hint="eastAsia" w:ascii="宋体" w:hAnsi="宋体" w:eastAsia="宋体" w:cs="Times New Roman"/>
          <w:sz w:val="24"/>
          <w:szCs w:val="24"/>
        </w:rPr>
        <w:t>三、技术需求</w:t>
      </w:r>
    </w:p>
    <w:p w14:paraId="09ACBB05">
      <w:pPr>
        <w:spacing w:line="360" w:lineRule="auto"/>
        <w:ind w:firstLine="720" w:firstLineChars="300"/>
        <w:rPr>
          <w:rFonts w:ascii="宋体" w:hAnsi="宋体" w:eastAsia="宋体" w:cs="Times New Roman"/>
          <w:color w:val="000000"/>
          <w:sz w:val="24"/>
          <w:szCs w:val="24"/>
        </w:rPr>
      </w:pPr>
      <w:r>
        <w:rPr>
          <w:rFonts w:hint="eastAsia" w:ascii="宋体" w:hAnsi="宋体" w:eastAsia="宋体" w:cs="Times New Roman"/>
          <w:color w:val="000000"/>
          <w:sz w:val="24"/>
          <w:szCs w:val="24"/>
        </w:rPr>
        <w:t>填写说明：</w:t>
      </w:r>
    </w:p>
    <w:p w14:paraId="30B94C52">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（一）实质性技术条款（加注“★”号条款）不得出现负偏离，发生负偏离即做无效标处理。</w:t>
      </w:r>
    </w:p>
    <w:p w14:paraId="3EFDE9DC">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（二）如果需要以附件形式表示，可写“见附件”，同时将附件按顺序附后。</w:t>
      </w:r>
    </w:p>
    <w:p w14:paraId="29C94B3E">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（三）★号条款（实质性技术条款）需要填写原因说明。</w:t>
      </w:r>
    </w:p>
    <w:p w14:paraId="2E5E324A">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（四）如无★号条款（实质性技术条款）可不填写。</w:t>
      </w:r>
    </w:p>
    <w:p w14:paraId="5E78DAB1">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（五）请填写验收标准。</w:t>
      </w:r>
    </w:p>
    <w:p w14:paraId="6629C2E8">
      <w:pPr>
        <w:spacing w:line="360" w:lineRule="auto"/>
        <w:rPr>
          <w:rFonts w:ascii="宋体" w:hAnsi="宋体" w:eastAsia="宋体" w:cs="Times New Roman"/>
          <w:sz w:val="24"/>
          <w:szCs w:val="24"/>
        </w:rPr>
      </w:pPr>
      <w:r>
        <w:rPr>
          <w:rFonts w:hint="eastAsia" w:ascii="宋体" w:hAnsi="宋体" w:eastAsia="宋体" w:cs="Times New Roman"/>
          <w:sz w:val="24"/>
          <w:szCs w:val="24"/>
        </w:rPr>
        <w:t>举例如下：</w:t>
      </w:r>
    </w:p>
    <w:p w14:paraId="093BC704">
      <w:pPr>
        <w:spacing w:line="360" w:lineRule="auto"/>
        <w:rPr>
          <w:rFonts w:ascii="宋体" w:hAnsi="宋体" w:eastAsia="宋体" w:cs="Times New Roman"/>
          <w:sz w:val="24"/>
          <w:szCs w:val="24"/>
        </w:rPr>
      </w:pPr>
      <w:r>
        <w:rPr>
          <w:rFonts w:hint="eastAsia" w:ascii="宋体" w:hAnsi="宋体" w:eastAsia="宋体" w:cs="Times New Roman"/>
          <w:sz w:val="24"/>
          <w:szCs w:val="24"/>
        </w:rPr>
        <w:t>本项目共1包，</w:t>
      </w:r>
    </w:p>
    <w:p w14:paraId="59B049F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第一包：心电电生理管理平台</w:t>
      </w:r>
    </w:p>
    <w:tbl>
      <w:tblPr>
        <w:tblStyle w:val="2"/>
        <w:tblW w:w="50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291"/>
        <w:gridCol w:w="3179"/>
        <w:gridCol w:w="456"/>
        <w:gridCol w:w="456"/>
        <w:gridCol w:w="1313"/>
        <w:gridCol w:w="1179"/>
      </w:tblGrid>
      <w:tr w14:paraId="542E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vAlign w:val="center"/>
          </w:tcPr>
          <w:p w14:paraId="5B3DC830">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763" w:type="pct"/>
            <w:vAlign w:val="center"/>
          </w:tcPr>
          <w:p w14:paraId="3F91A855">
            <w:pPr>
              <w:jc w:val="center"/>
              <w:rPr>
                <w:rFonts w:ascii="宋体" w:hAnsi="宋体" w:eastAsia="宋体" w:cs="Times New Roman"/>
                <w:sz w:val="24"/>
                <w:szCs w:val="24"/>
              </w:rPr>
            </w:pPr>
            <w:r>
              <w:rPr>
                <w:rFonts w:hint="eastAsia" w:ascii="宋体" w:hAnsi="宋体" w:eastAsia="宋体" w:cs="Times New Roman"/>
                <w:sz w:val="24"/>
                <w:szCs w:val="24"/>
              </w:rPr>
              <w:t>货物名称</w:t>
            </w:r>
          </w:p>
        </w:tc>
        <w:tc>
          <w:tcPr>
            <w:tcW w:w="1852" w:type="pct"/>
            <w:vAlign w:val="center"/>
          </w:tcPr>
          <w:p w14:paraId="1BC2FE01">
            <w:pPr>
              <w:jc w:val="center"/>
              <w:rPr>
                <w:rFonts w:ascii="宋体" w:hAnsi="宋体" w:eastAsia="宋体" w:cs="Times New Roman"/>
                <w:sz w:val="24"/>
                <w:szCs w:val="24"/>
              </w:rPr>
            </w:pPr>
            <w:r>
              <w:rPr>
                <w:rFonts w:hint="eastAsia" w:ascii="宋体" w:hAnsi="宋体" w:eastAsia="宋体" w:cs="Times New Roman"/>
                <w:sz w:val="24"/>
                <w:szCs w:val="24"/>
              </w:rPr>
              <w:t>技术要求</w:t>
            </w:r>
          </w:p>
        </w:tc>
        <w:tc>
          <w:tcPr>
            <w:tcW w:w="276" w:type="pct"/>
            <w:vAlign w:val="center"/>
          </w:tcPr>
          <w:p w14:paraId="6F8A4BDE">
            <w:pPr>
              <w:jc w:val="center"/>
              <w:rPr>
                <w:rFonts w:ascii="宋体" w:hAnsi="宋体" w:eastAsia="宋体" w:cs="Times New Roman"/>
                <w:sz w:val="24"/>
                <w:szCs w:val="24"/>
              </w:rPr>
            </w:pPr>
            <w:r>
              <w:rPr>
                <w:rFonts w:hint="eastAsia" w:ascii="宋体" w:hAnsi="宋体" w:eastAsia="宋体" w:cs="Times New Roman"/>
                <w:sz w:val="24"/>
                <w:szCs w:val="24"/>
              </w:rPr>
              <w:t>单位</w:t>
            </w:r>
          </w:p>
        </w:tc>
        <w:tc>
          <w:tcPr>
            <w:tcW w:w="158" w:type="pct"/>
            <w:vAlign w:val="center"/>
          </w:tcPr>
          <w:p w14:paraId="0E6990E2">
            <w:pPr>
              <w:jc w:val="center"/>
              <w:rPr>
                <w:rFonts w:ascii="宋体" w:hAnsi="宋体" w:eastAsia="宋体" w:cs="Times New Roman"/>
                <w:sz w:val="24"/>
                <w:szCs w:val="24"/>
              </w:rPr>
            </w:pPr>
            <w:r>
              <w:rPr>
                <w:rFonts w:hint="eastAsia" w:ascii="宋体" w:hAnsi="宋体" w:eastAsia="宋体" w:cs="Times New Roman"/>
                <w:sz w:val="24"/>
                <w:szCs w:val="24"/>
              </w:rPr>
              <w:t>数量</w:t>
            </w:r>
          </w:p>
        </w:tc>
        <w:tc>
          <w:tcPr>
            <w:tcW w:w="780" w:type="pct"/>
            <w:vAlign w:val="center"/>
          </w:tcPr>
          <w:p w14:paraId="5AAB150D">
            <w:pPr>
              <w:jc w:val="center"/>
              <w:rPr>
                <w:rFonts w:ascii="宋体" w:hAnsi="宋体" w:eastAsia="宋体" w:cs="Times New Roman"/>
                <w:sz w:val="24"/>
                <w:szCs w:val="24"/>
              </w:rPr>
            </w:pPr>
            <w:r>
              <w:rPr>
                <w:rFonts w:hint="eastAsia" w:ascii="宋体" w:hAnsi="宋体" w:eastAsia="宋体" w:cs="Times New Roman"/>
                <w:sz w:val="24"/>
                <w:szCs w:val="24"/>
              </w:rPr>
              <w:t>是否属于现行节能产品政府采购清单强制采购范围</w:t>
            </w:r>
          </w:p>
        </w:tc>
        <w:tc>
          <w:tcPr>
            <w:tcW w:w="698" w:type="pct"/>
            <w:vAlign w:val="center"/>
          </w:tcPr>
          <w:p w14:paraId="78792D5A">
            <w:pPr>
              <w:jc w:val="center"/>
              <w:rPr>
                <w:rFonts w:ascii="宋体" w:hAnsi="宋体" w:eastAsia="宋体" w:cs="Times New Roman"/>
                <w:sz w:val="24"/>
                <w:szCs w:val="24"/>
              </w:rPr>
            </w:pPr>
            <w:r>
              <w:rPr>
                <w:rFonts w:hint="eastAsia" w:ascii="宋体" w:hAnsi="宋体" w:eastAsia="宋体" w:cs="Times New Roman"/>
                <w:sz w:val="24"/>
                <w:szCs w:val="24"/>
              </w:rPr>
              <w:t>实质性技术条款原因说明</w:t>
            </w:r>
          </w:p>
        </w:tc>
      </w:tr>
      <w:tr w14:paraId="2659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vAlign w:val="center"/>
          </w:tcPr>
          <w:p w14:paraId="719BB0F7">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763" w:type="pct"/>
            <w:vAlign w:val="center"/>
          </w:tcPr>
          <w:p w14:paraId="3512A4A9">
            <w:pPr>
              <w:rPr>
                <w:rFonts w:ascii="宋体" w:hAnsi="宋体" w:eastAsia="宋体" w:cs="Times New Roman"/>
                <w:sz w:val="24"/>
                <w:szCs w:val="24"/>
              </w:rPr>
            </w:pPr>
            <w:r>
              <w:rPr>
                <w:rFonts w:hint="eastAsia" w:ascii="宋体" w:hAnsi="宋体" w:eastAsia="宋体" w:cs="Times New Roman"/>
                <w:sz w:val="24"/>
                <w:szCs w:val="24"/>
              </w:rPr>
              <w:t>心电电生理管理平台</w:t>
            </w:r>
          </w:p>
        </w:tc>
        <w:tc>
          <w:tcPr>
            <w:tcW w:w="1852" w:type="pct"/>
            <w:vAlign w:val="center"/>
          </w:tcPr>
          <w:p w14:paraId="341B15F9">
            <w:pPr>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rPr>
              <w:tab/>
            </w:r>
            <w:r>
              <w:rPr>
                <w:rFonts w:hint="eastAsia" w:ascii="宋体" w:hAnsi="宋体" w:eastAsia="宋体" w:cs="Times New Roman"/>
                <w:sz w:val="24"/>
                <w:szCs w:val="24"/>
              </w:rPr>
              <w:t>整体要求</w:t>
            </w:r>
          </w:p>
          <w:p w14:paraId="124A152B">
            <w:pPr>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rPr>
              <w:tab/>
            </w:r>
            <w:r>
              <w:rPr>
                <w:rFonts w:hint="eastAsia" w:ascii="宋体" w:hAnsi="宋体" w:eastAsia="宋体" w:cs="Times New Roman"/>
                <w:sz w:val="24"/>
                <w:szCs w:val="24"/>
              </w:rPr>
              <w:t>系统采用分布式微服务技术架构，各服务之间高度自治，支持独立部署或集中部署，满足医院业务高并发的需求。</w:t>
            </w:r>
          </w:p>
          <w:p w14:paraId="6A84A8FC">
            <w:pPr>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rPr>
              <w:tab/>
            </w:r>
            <w:r>
              <w:rPr>
                <w:rFonts w:hint="eastAsia" w:ascii="宋体" w:hAnsi="宋体" w:eastAsia="宋体" w:cs="Times New Roman"/>
                <w:sz w:val="24"/>
                <w:szCs w:val="24"/>
              </w:rPr>
              <w:t>数据库支持SQL Server、Mysql等数据库，采用读写分离模式。</w:t>
            </w:r>
          </w:p>
          <w:p w14:paraId="44B32F3C">
            <w:pPr>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rPr>
              <w:tab/>
            </w:r>
            <w:r>
              <w:rPr>
                <w:rFonts w:hint="eastAsia" w:ascii="宋体" w:hAnsi="宋体" w:eastAsia="宋体" w:cs="Times New Roman"/>
                <w:sz w:val="24"/>
                <w:szCs w:val="24"/>
              </w:rPr>
              <w:t>采用热部署方式，无需停止服务器即可实现系统程序升级发布、配置文件更新等功能。</w:t>
            </w:r>
          </w:p>
          <w:p w14:paraId="1FC43FA4">
            <w:pPr>
              <w:rPr>
                <w:rFonts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rPr>
              <w:tab/>
            </w:r>
            <w:r>
              <w:rPr>
                <w:rFonts w:hint="eastAsia" w:ascii="宋体" w:hAnsi="宋体" w:eastAsia="宋体" w:cs="Times New Roman"/>
                <w:sz w:val="24"/>
                <w:szCs w:val="24"/>
              </w:rPr>
              <w:t>系统支持C/S和B/S混合模式。</w:t>
            </w:r>
          </w:p>
          <w:p w14:paraId="04EC9407">
            <w:pPr>
              <w:rPr>
                <w:rFonts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rPr>
              <w:tab/>
            </w:r>
            <w:r>
              <w:rPr>
                <w:rFonts w:hint="eastAsia" w:ascii="宋体" w:hAnsi="宋体" w:eastAsia="宋体" w:cs="Times New Roman"/>
                <w:sz w:val="24"/>
                <w:szCs w:val="24"/>
              </w:rPr>
              <w:t>系统采用业务和管理分离的方式。在业务处理上，提供独立的医生工作站，供临床处理心电的检查、诊断、数据分析等业务；在管理上，提供独立的管理后台，实现对人员、设备等基础数据的统一管理，支持创建、修改、删除、查询各通行证功能。通过业务口和管理口从物理上分离,使业务数据和管理数据相互间不会产生干扰，提升系统稳定性和可靠性。【提供证明业务和管理分离的软件功能截图】</w:t>
            </w:r>
          </w:p>
          <w:p w14:paraId="08A0CE97">
            <w:pPr>
              <w:rPr>
                <w:rFonts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eastAsia="宋体" w:cs="Times New Roman"/>
                <w:sz w:val="24"/>
                <w:szCs w:val="24"/>
              </w:rPr>
              <w:tab/>
            </w:r>
            <w:r>
              <w:rPr>
                <w:rFonts w:hint="eastAsia" w:ascii="宋体" w:hAnsi="宋体" w:eastAsia="宋体" w:cs="Times New Roman"/>
                <w:sz w:val="24"/>
                <w:szCs w:val="24"/>
              </w:rPr>
              <w:t>支持心电数据的采集、传输、诊断和数据归档的全流程跟踪管理，通过分布式日志系统、消息队列、调用链跟踪等方式跟踪记录每一份心电报告的生成过程，为功能调试、问题排查、问题定位等提供技术支撑和可靠保障。</w:t>
            </w:r>
          </w:p>
          <w:p w14:paraId="0C3991D2">
            <w:pPr>
              <w:rPr>
                <w:rFonts w:ascii="宋体" w:hAnsi="宋体" w:eastAsia="宋体" w:cs="Times New Roman"/>
                <w:sz w:val="24"/>
                <w:szCs w:val="24"/>
              </w:rPr>
            </w:pPr>
            <w:r>
              <w:rPr>
                <w:rFonts w:hint="eastAsia" w:ascii="宋体" w:hAnsi="宋体" w:eastAsia="宋体" w:cs="Times New Roman"/>
                <w:sz w:val="24"/>
                <w:szCs w:val="24"/>
              </w:rPr>
              <w:t>7)</w:t>
            </w:r>
            <w:r>
              <w:rPr>
                <w:rFonts w:hint="eastAsia" w:ascii="宋体" w:hAnsi="宋体" w:eastAsia="宋体" w:cs="Times New Roman"/>
                <w:sz w:val="24"/>
                <w:szCs w:val="24"/>
              </w:rPr>
              <w:tab/>
            </w:r>
            <w:r>
              <w:rPr>
                <w:rFonts w:hint="eastAsia" w:ascii="宋体" w:hAnsi="宋体" w:eastAsia="宋体" w:cs="Times New Roman"/>
                <w:sz w:val="24"/>
                <w:szCs w:val="24"/>
              </w:rPr>
              <w:t>系统安全应符合《信息安全技术信息系统安全等级保护基本要求》。</w:t>
            </w:r>
          </w:p>
          <w:p w14:paraId="6E3F06A6">
            <w:pPr>
              <w:rPr>
                <w:rFonts w:ascii="宋体" w:hAnsi="宋体" w:eastAsia="宋体" w:cs="Times New Roman"/>
                <w:sz w:val="24"/>
                <w:szCs w:val="24"/>
              </w:rPr>
            </w:pPr>
            <w:r>
              <w:rPr>
                <w:rFonts w:hint="eastAsia" w:ascii="宋体" w:hAnsi="宋体" w:eastAsia="宋体" w:cs="Times New Roman"/>
                <w:sz w:val="24"/>
                <w:szCs w:val="24"/>
              </w:rPr>
              <w:t>8)</w:t>
            </w:r>
            <w:r>
              <w:rPr>
                <w:rFonts w:hint="eastAsia" w:ascii="宋体" w:hAnsi="宋体" w:eastAsia="宋体" w:cs="Times New Roman"/>
                <w:sz w:val="24"/>
                <w:szCs w:val="24"/>
              </w:rPr>
              <w:tab/>
            </w:r>
            <w:r>
              <w:rPr>
                <w:rFonts w:hint="eastAsia" w:ascii="宋体" w:hAnsi="宋体" w:eastAsia="宋体" w:cs="Times New Roman"/>
                <w:sz w:val="24"/>
                <w:szCs w:val="24"/>
              </w:rPr>
              <w:t>系统提供接口服务，支持对接第三方信息平台，支持采用视图、存储过程、Webservice、DICOM、HL7等方式实现接口功能。</w:t>
            </w:r>
          </w:p>
          <w:p w14:paraId="37E10777">
            <w:pPr>
              <w:rPr>
                <w:rFonts w:ascii="宋体" w:hAnsi="宋体" w:eastAsia="宋体" w:cs="Times New Roman"/>
                <w:sz w:val="24"/>
                <w:szCs w:val="24"/>
              </w:rPr>
            </w:pPr>
            <w:r>
              <w:rPr>
                <w:rFonts w:hint="eastAsia" w:ascii="宋体" w:hAnsi="宋体" w:eastAsia="宋体" w:cs="Times New Roman"/>
                <w:sz w:val="24"/>
                <w:szCs w:val="24"/>
              </w:rPr>
              <w:t>9)</w:t>
            </w:r>
            <w:r>
              <w:rPr>
                <w:rFonts w:hint="eastAsia" w:ascii="宋体" w:hAnsi="宋体" w:eastAsia="宋体" w:cs="Times New Roman"/>
                <w:sz w:val="24"/>
                <w:szCs w:val="24"/>
              </w:rPr>
              <w:tab/>
            </w:r>
            <w:r>
              <w:rPr>
                <w:rFonts w:hint="eastAsia" w:ascii="宋体" w:hAnsi="宋体" w:eastAsia="宋体" w:cs="Times New Roman"/>
                <w:sz w:val="24"/>
                <w:szCs w:val="24"/>
              </w:rPr>
              <w:t>系统通过IHE数字心电诊断系统集成模式和功能角色的专项测试，集成模式至少包含REWF、ECG、DRPT等3类，功能角色至少包含EC、ID、INTEGRATED-ECG-MANAGER、INFO_SRC、Integrated Report Manager/Repository等5种。【提供证明材料】</w:t>
            </w:r>
          </w:p>
          <w:p w14:paraId="5241D6D8">
            <w:pPr>
              <w:rPr>
                <w:rFonts w:ascii="宋体" w:hAnsi="宋体" w:eastAsia="宋体" w:cs="Times New Roman"/>
                <w:sz w:val="24"/>
                <w:szCs w:val="24"/>
              </w:rPr>
            </w:pPr>
            <w:r>
              <w:rPr>
                <w:rFonts w:hint="eastAsia" w:ascii="宋体" w:hAnsi="宋体" w:eastAsia="宋体" w:cs="Times New Roman"/>
                <w:sz w:val="24"/>
                <w:szCs w:val="24"/>
              </w:rPr>
              <w:t>10)</w:t>
            </w:r>
            <w:r>
              <w:rPr>
                <w:rFonts w:hint="eastAsia" w:ascii="宋体" w:hAnsi="宋体" w:eastAsia="宋体" w:cs="Times New Roman"/>
                <w:sz w:val="24"/>
                <w:szCs w:val="24"/>
              </w:rPr>
              <w:tab/>
            </w:r>
            <w:r>
              <w:rPr>
                <w:rFonts w:hint="eastAsia" w:ascii="宋体" w:hAnsi="宋体" w:eastAsia="宋体" w:cs="Times New Roman"/>
                <w:sz w:val="24"/>
                <w:szCs w:val="24"/>
              </w:rPr>
              <w:t>系统具有自动正时功能，支持与医院时间服务器同步，实现联网心电图机、工作站时间统一。</w:t>
            </w:r>
          </w:p>
          <w:p w14:paraId="41009318">
            <w:pPr>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rPr>
              <w:tab/>
            </w:r>
            <w:r>
              <w:rPr>
                <w:rFonts w:hint="eastAsia" w:ascii="宋体" w:hAnsi="宋体" w:eastAsia="宋体" w:cs="Times New Roman"/>
                <w:sz w:val="24"/>
                <w:szCs w:val="24"/>
              </w:rPr>
              <w:t>预约管理</w:t>
            </w:r>
          </w:p>
          <w:p w14:paraId="1DD1DFB2">
            <w:pPr>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rPr>
              <w:tab/>
            </w:r>
            <w:r>
              <w:rPr>
                <w:rFonts w:hint="eastAsia" w:ascii="宋体" w:hAnsi="宋体" w:eastAsia="宋体" w:cs="Times New Roman"/>
                <w:sz w:val="24"/>
                <w:szCs w:val="24"/>
              </w:rPr>
              <w:t>支持检查诊室管理功能，包括新建、修改、删除。</w:t>
            </w:r>
          </w:p>
          <w:p w14:paraId="26AC5AEB">
            <w:pPr>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rPr>
              <w:tab/>
            </w:r>
            <w:r>
              <w:rPr>
                <w:rFonts w:hint="eastAsia" w:ascii="宋体" w:hAnsi="宋体" w:eastAsia="宋体" w:cs="Times New Roman"/>
                <w:sz w:val="24"/>
                <w:szCs w:val="24"/>
              </w:rPr>
              <w:t>支持设置预约时段、关联诊室，每个预约时段可限制人数；支持一个诊室对应多个检查项目，支持一个检查项目多个诊室检查。</w:t>
            </w:r>
          </w:p>
          <w:p w14:paraId="10C8046E">
            <w:pPr>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rPr>
              <w:tab/>
            </w:r>
            <w:r>
              <w:rPr>
                <w:rFonts w:hint="eastAsia" w:ascii="宋体" w:hAnsi="宋体" w:eastAsia="宋体" w:cs="Times New Roman"/>
                <w:sz w:val="24"/>
                <w:szCs w:val="24"/>
              </w:rPr>
              <w:t>支持静息心电、动态心电、动态血压、电生理等多种业务类型统一预约。</w:t>
            </w:r>
          </w:p>
          <w:p w14:paraId="25B1AB24">
            <w:pPr>
              <w:rPr>
                <w:rFonts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rPr>
              <w:tab/>
            </w:r>
            <w:r>
              <w:rPr>
                <w:rFonts w:hint="eastAsia" w:ascii="宋体" w:hAnsi="宋体" w:eastAsia="宋体" w:cs="Times New Roman"/>
                <w:sz w:val="24"/>
                <w:szCs w:val="24"/>
              </w:rPr>
              <w:t>检查医生通过HIS接口获得申请单进行登记和预约，并生成排队号的条形码，患者按照排队号在检查室等待检查。</w:t>
            </w:r>
          </w:p>
          <w:p w14:paraId="65D77793">
            <w:pPr>
              <w:rPr>
                <w:rFonts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rPr>
              <w:tab/>
            </w:r>
            <w:r>
              <w:rPr>
                <w:rFonts w:hint="eastAsia" w:ascii="宋体" w:hAnsi="宋体" w:eastAsia="宋体" w:cs="Times New Roman"/>
                <w:sz w:val="24"/>
                <w:szCs w:val="24"/>
              </w:rPr>
              <w:t>可手动创建、扫码、读卡、输入卡号、下载预约记录获取检查患者。</w:t>
            </w:r>
          </w:p>
          <w:p w14:paraId="2EFF809A">
            <w:pPr>
              <w:rPr>
                <w:rFonts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eastAsia="宋体" w:cs="Times New Roman"/>
                <w:sz w:val="24"/>
                <w:szCs w:val="24"/>
              </w:rPr>
              <w:tab/>
            </w:r>
            <w:r>
              <w:rPr>
                <w:rFonts w:hint="eastAsia" w:ascii="宋体" w:hAnsi="宋体" w:eastAsia="宋体" w:cs="Times New Roman"/>
                <w:sz w:val="24"/>
                <w:szCs w:val="24"/>
              </w:rPr>
              <w:t>在预约列表中，支持新建、修改、删除、加急、激活等功能。</w:t>
            </w:r>
          </w:p>
          <w:p w14:paraId="5712B916">
            <w:pPr>
              <w:rPr>
                <w:rFonts w:ascii="宋体" w:hAnsi="宋体" w:eastAsia="宋体" w:cs="Times New Roman"/>
                <w:sz w:val="24"/>
                <w:szCs w:val="24"/>
              </w:rPr>
            </w:pPr>
            <w:r>
              <w:rPr>
                <w:rFonts w:hint="eastAsia" w:ascii="宋体" w:hAnsi="宋体" w:eastAsia="宋体" w:cs="Times New Roman"/>
                <w:sz w:val="24"/>
                <w:szCs w:val="24"/>
              </w:rPr>
              <w:t>7)</w:t>
            </w:r>
            <w:r>
              <w:rPr>
                <w:rFonts w:hint="eastAsia" w:ascii="宋体" w:hAnsi="宋体" w:eastAsia="宋体" w:cs="Times New Roman"/>
                <w:sz w:val="24"/>
                <w:szCs w:val="24"/>
              </w:rPr>
              <w:tab/>
            </w:r>
            <w:r>
              <w:rPr>
                <w:rFonts w:hint="eastAsia" w:ascii="宋体" w:hAnsi="宋体" w:eastAsia="宋体" w:cs="Times New Roman"/>
                <w:sz w:val="24"/>
                <w:szCs w:val="24"/>
              </w:rPr>
              <w:t>支持选择检查项目，支持填写主诉、临床诊断、既往病史等信息。</w:t>
            </w:r>
          </w:p>
          <w:p w14:paraId="54F0FFF1">
            <w:pPr>
              <w:rPr>
                <w:rFonts w:ascii="宋体" w:hAnsi="宋体" w:eastAsia="宋体" w:cs="Times New Roman"/>
                <w:sz w:val="24"/>
                <w:szCs w:val="24"/>
              </w:rPr>
            </w:pPr>
            <w:r>
              <w:rPr>
                <w:rFonts w:hint="eastAsia" w:ascii="宋体" w:hAnsi="宋体" w:eastAsia="宋体" w:cs="Times New Roman"/>
                <w:sz w:val="24"/>
                <w:szCs w:val="24"/>
              </w:rPr>
              <w:t>8)</w:t>
            </w:r>
            <w:r>
              <w:rPr>
                <w:rFonts w:hint="eastAsia" w:ascii="宋体" w:hAnsi="宋体" w:eastAsia="宋体" w:cs="Times New Roman"/>
                <w:sz w:val="24"/>
                <w:szCs w:val="24"/>
              </w:rPr>
              <w:tab/>
            </w:r>
            <w:r>
              <w:rPr>
                <w:rFonts w:hint="eastAsia" w:ascii="宋体" w:hAnsi="宋体" w:eastAsia="宋体" w:cs="Times New Roman"/>
                <w:sz w:val="24"/>
                <w:szCs w:val="24"/>
              </w:rPr>
              <w:t>支持手动选择或自动匹配检查诊室和检查时段。</w:t>
            </w:r>
          </w:p>
          <w:p w14:paraId="44C6A6C5">
            <w:pPr>
              <w:rPr>
                <w:rFonts w:ascii="宋体" w:hAnsi="宋体" w:eastAsia="宋体" w:cs="Times New Roman"/>
                <w:sz w:val="24"/>
                <w:szCs w:val="24"/>
              </w:rPr>
            </w:pPr>
            <w:r>
              <w:rPr>
                <w:rFonts w:hint="eastAsia" w:ascii="宋体" w:hAnsi="宋体" w:eastAsia="宋体" w:cs="Times New Roman"/>
                <w:sz w:val="24"/>
                <w:szCs w:val="24"/>
              </w:rPr>
              <w:t>9)</w:t>
            </w:r>
            <w:r>
              <w:rPr>
                <w:rFonts w:hint="eastAsia" w:ascii="宋体" w:hAnsi="宋体" w:eastAsia="宋体" w:cs="Times New Roman"/>
                <w:sz w:val="24"/>
                <w:szCs w:val="24"/>
              </w:rPr>
              <w:tab/>
            </w:r>
            <w:r>
              <w:rPr>
                <w:rFonts w:hint="eastAsia" w:ascii="宋体" w:hAnsi="宋体" w:eastAsia="宋体" w:cs="Times New Roman"/>
                <w:sz w:val="24"/>
                <w:szCs w:val="24"/>
              </w:rPr>
              <w:t>具有时段预约已满智能提醒功能。</w:t>
            </w:r>
          </w:p>
          <w:p w14:paraId="646E3E99">
            <w:pPr>
              <w:rPr>
                <w:rFonts w:ascii="宋体" w:hAnsi="宋体" w:eastAsia="宋体" w:cs="Times New Roman"/>
                <w:sz w:val="24"/>
                <w:szCs w:val="24"/>
              </w:rPr>
            </w:pPr>
            <w:r>
              <w:rPr>
                <w:rFonts w:hint="eastAsia" w:ascii="宋体" w:hAnsi="宋体" w:eastAsia="宋体" w:cs="Times New Roman"/>
                <w:sz w:val="24"/>
                <w:szCs w:val="24"/>
              </w:rPr>
              <w:t>10)</w:t>
            </w:r>
            <w:r>
              <w:rPr>
                <w:rFonts w:hint="eastAsia" w:ascii="宋体" w:hAnsi="宋体" w:eastAsia="宋体" w:cs="Times New Roman"/>
                <w:sz w:val="24"/>
                <w:szCs w:val="24"/>
              </w:rPr>
              <w:tab/>
            </w:r>
            <w:r>
              <w:rPr>
                <w:rFonts w:hint="eastAsia" w:ascii="宋体" w:hAnsi="宋体" w:eastAsia="宋体" w:cs="Times New Roman"/>
                <w:sz w:val="24"/>
                <w:szCs w:val="24"/>
              </w:rPr>
              <w:t>支持预约登记患者更换诊室、加急、激活、打印预约单。</w:t>
            </w:r>
          </w:p>
          <w:p w14:paraId="1E6595B6">
            <w:pPr>
              <w:rPr>
                <w:rFonts w:ascii="宋体" w:hAnsi="宋体" w:eastAsia="宋体" w:cs="Times New Roman"/>
                <w:sz w:val="24"/>
                <w:szCs w:val="24"/>
              </w:rPr>
            </w:pPr>
            <w:r>
              <w:rPr>
                <w:rFonts w:hint="eastAsia" w:ascii="宋体" w:hAnsi="宋体" w:eastAsia="宋体" w:cs="Times New Roman"/>
                <w:sz w:val="24"/>
                <w:szCs w:val="24"/>
              </w:rPr>
              <w:t>11)</w:t>
            </w:r>
            <w:r>
              <w:rPr>
                <w:rFonts w:hint="eastAsia" w:ascii="宋体" w:hAnsi="宋体" w:eastAsia="宋体" w:cs="Times New Roman"/>
                <w:sz w:val="24"/>
                <w:szCs w:val="24"/>
              </w:rPr>
              <w:tab/>
            </w:r>
            <w:r>
              <w:rPr>
                <w:rFonts w:hint="eastAsia" w:ascii="宋体" w:hAnsi="宋体" w:eastAsia="宋体" w:cs="Times New Roman"/>
                <w:sz w:val="24"/>
                <w:szCs w:val="24"/>
              </w:rPr>
              <w:t>支持呼叫、检查、过号、重呼、激活等功能</w:t>
            </w:r>
          </w:p>
          <w:p w14:paraId="45FE821E">
            <w:pPr>
              <w:rPr>
                <w:rFonts w:ascii="宋体" w:hAnsi="宋体" w:eastAsia="宋体" w:cs="Times New Roman"/>
                <w:sz w:val="24"/>
                <w:szCs w:val="24"/>
              </w:rPr>
            </w:pPr>
            <w:r>
              <w:rPr>
                <w:rFonts w:hint="eastAsia" w:ascii="宋体" w:hAnsi="宋体" w:eastAsia="宋体" w:cs="Times New Roman"/>
                <w:sz w:val="24"/>
                <w:szCs w:val="24"/>
              </w:rPr>
              <w:t>12)</w:t>
            </w:r>
            <w:r>
              <w:rPr>
                <w:rFonts w:hint="eastAsia" w:ascii="宋体" w:hAnsi="宋体" w:eastAsia="宋体" w:cs="Times New Roman"/>
                <w:sz w:val="24"/>
                <w:szCs w:val="24"/>
              </w:rPr>
              <w:tab/>
            </w:r>
            <w:r>
              <w:rPr>
                <w:rFonts w:hint="eastAsia" w:ascii="宋体" w:hAnsi="宋体" w:eastAsia="宋体" w:cs="Times New Roman"/>
                <w:sz w:val="24"/>
                <w:szCs w:val="24"/>
              </w:rPr>
              <w:t>支持查看已叫号、候诊中、过号和已检查各状态下的受检者</w:t>
            </w:r>
          </w:p>
          <w:p w14:paraId="4111BB94">
            <w:pPr>
              <w:rPr>
                <w:rFonts w:ascii="宋体" w:hAnsi="宋体" w:eastAsia="宋体" w:cs="Times New Roman"/>
                <w:sz w:val="24"/>
                <w:szCs w:val="24"/>
              </w:rPr>
            </w:pPr>
            <w:r>
              <w:rPr>
                <w:rFonts w:hint="eastAsia" w:ascii="宋体" w:hAnsi="宋体" w:eastAsia="宋体" w:cs="Times New Roman"/>
                <w:sz w:val="24"/>
                <w:szCs w:val="24"/>
              </w:rPr>
              <w:t>13)</w:t>
            </w:r>
            <w:r>
              <w:rPr>
                <w:rFonts w:hint="eastAsia" w:ascii="宋体" w:hAnsi="宋体" w:eastAsia="宋体" w:cs="Times New Roman"/>
                <w:sz w:val="24"/>
                <w:szCs w:val="24"/>
              </w:rPr>
              <w:tab/>
            </w:r>
            <w:r>
              <w:rPr>
                <w:rFonts w:hint="eastAsia" w:ascii="宋体" w:hAnsi="宋体" w:eastAsia="宋体" w:cs="Times New Roman"/>
                <w:sz w:val="24"/>
                <w:szCs w:val="24"/>
              </w:rPr>
              <w:t>支持大屏展示排队叫号信息，方便受检者在候诊大厅的大屏随时掌握自己的就诊动态</w:t>
            </w:r>
          </w:p>
          <w:p w14:paraId="0CB9ABF1">
            <w:pPr>
              <w:rPr>
                <w:rFonts w:ascii="宋体" w:hAnsi="宋体" w:eastAsia="宋体" w:cs="Times New Roman"/>
                <w:sz w:val="24"/>
                <w:szCs w:val="24"/>
              </w:rPr>
            </w:pPr>
            <w:r>
              <w:rPr>
                <w:rFonts w:hint="eastAsia" w:ascii="宋体" w:hAnsi="宋体" w:eastAsia="宋体" w:cs="Times New Roman"/>
                <w:sz w:val="24"/>
                <w:szCs w:val="24"/>
              </w:rPr>
              <w:t>14)</w:t>
            </w:r>
            <w:r>
              <w:rPr>
                <w:rFonts w:hint="eastAsia" w:ascii="宋体" w:hAnsi="宋体" w:eastAsia="宋体" w:cs="Times New Roman"/>
                <w:sz w:val="24"/>
                <w:szCs w:val="24"/>
              </w:rPr>
              <w:tab/>
            </w:r>
            <w:r>
              <w:rPr>
                <w:rFonts w:hint="eastAsia" w:ascii="宋体" w:hAnsi="宋体" w:eastAsia="宋体" w:cs="Times New Roman"/>
                <w:sz w:val="24"/>
                <w:szCs w:val="24"/>
              </w:rPr>
              <w:t>依序叫号，系统会自动语音呼叫，并在叫号屏上显示</w:t>
            </w:r>
          </w:p>
          <w:p w14:paraId="4B3F3522">
            <w:pPr>
              <w:rPr>
                <w:rFonts w:ascii="宋体" w:hAnsi="宋体" w:eastAsia="宋体" w:cs="Times New Roman"/>
                <w:sz w:val="24"/>
                <w:szCs w:val="24"/>
              </w:rPr>
            </w:pPr>
            <w:r>
              <w:rPr>
                <w:rFonts w:hint="eastAsia" w:ascii="宋体" w:hAnsi="宋体" w:eastAsia="宋体" w:cs="Times New Roman"/>
                <w:sz w:val="24"/>
                <w:szCs w:val="24"/>
              </w:rPr>
              <w:t>15)</w:t>
            </w:r>
            <w:r>
              <w:rPr>
                <w:rFonts w:hint="eastAsia" w:ascii="宋体" w:hAnsi="宋体" w:eastAsia="宋体" w:cs="Times New Roman"/>
                <w:sz w:val="24"/>
                <w:szCs w:val="24"/>
              </w:rPr>
              <w:tab/>
            </w:r>
            <w:r>
              <w:rPr>
                <w:rFonts w:hint="eastAsia" w:ascii="宋体" w:hAnsi="宋体" w:eastAsia="宋体" w:cs="Times New Roman"/>
                <w:sz w:val="24"/>
                <w:szCs w:val="24"/>
              </w:rPr>
              <w:t>支持自定义大屏模板样式，配置显示内容，包括叫号队列、候诊队列、过号队列、姓名、排队号、检查诊室、检查项目等内容配置显示。</w:t>
            </w:r>
          </w:p>
          <w:p w14:paraId="3A46E705">
            <w:pPr>
              <w:rPr>
                <w:rFonts w:ascii="宋体" w:hAnsi="宋体" w:eastAsia="宋体" w:cs="Times New Roman"/>
                <w:sz w:val="24"/>
                <w:szCs w:val="24"/>
              </w:rPr>
            </w:pPr>
            <w:r>
              <w:rPr>
                <w:rFonts w:hint="eastAsia" w:ascii="宋体" w:hAnsi="宋体" w:eastAsia="宋体" w:cs="Times New Roman"/>
                <w:sz w:val="24"/>
                <w:szCs w:val="24"/>
              </w:rPr>
              <w:t>16)</w:t>
            </w:r>
            <w:r>
              <w:rPr>
                <w:rFonts w:hint="eastAsia" w:ascii="宋体" w:hAnsi="宋体" w:eastAsia="宋体" w:cs="Times New Roman"/>
                <w:sz w:val="24"/>
                <w:szCs w:val="24"/>
              </w:rPr>
              <w:tab/>
            </w:r>
            <w:r>
              <w:rPr>
                <w:rFonts w:hint="eastAsia" w:ascii="宋体" w:hAnsi="宋体" w:eastAsia="宋体" w:cs="Times New Roman"/>
                <w:sz w:val="24"/>
                <w:szCs w:val="24"/>
              </w:rPr>
              <w:t>支持多语言播报。</w:t>
            </w:r>
          </w:p>
          <w:p w14:paraId="014D5143">
            <w:pPr>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rPr>
              <w:tab/>
            </w:r>
            <w:r>
              <w:rPr>
                <w:rFonts w:hint="eastAsia" w:ascii="宋体" w:hAnsi="宋体" w:eastAsia="宋体" w:cs="Times New Roman"/>
                <w:sz w:val="24"/>
                <w:szCs w:val="24"/>
              </w:rPr>
              <w:t>检查管理</w:t>
            </w:r>
          </w:p>
          <w:p w14:paraId="03B40B06">
            <w:pPr>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rPr>
              <w:tab/>
            </w:r>
            <w:r>
              <w:rPr>
                <w:rFonts w:hint="eastAsia" w:ascii="宋体" w:hAnsi="宋体" w:eastAsia="宋体" w:cs="Times New Roman"/>
                <w:sz w:val="24"/>
                <w:szCs w:val="24"/>
              </w:rPr>
              <w:t>系统支持连接第三方心电图机完成受检者的心电检查。支持解析hl7、mfer、scp、fda-xml、dicom、anb、dat、ecg、eco、ekg等第三方心电图机数据格式并以统一的格式进行存储。</w:t>
            </w:r>
          </w:p>
          <w:p w14:paraId="07335441">
            <w:pPr>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rPr>
              <w:tab/>
            </w:r>
            <w:r>
              <w:rPr>
                <w:rFonts w:hint="eastAsia" w:ascii="宋体" w:hAnsi="宋体" w:eastAsia="宋体" w:cs="Times New Roman"/>
                <w:sz w:val="24"/>
                <w:szCs w:val="24"/>
              </w:rPr>
              <w:t>支持针对门诊（固定检查）、病房（移动检查）等不同的检查场景，按照所接设备类型，可以提供不同的设备接入和改造方案。满足不同场景下的设备接入和采集需求。</w:t>
            </w:r>
          </w:p>
          <w:p w14:paraId="25EE2F05">
            <w:pPr>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rPr>
              <w:tab/>
            </w:r>
            <w:r>
              <w:rPr>
                <w:rFonts w:hint="eastAsia" w:ascii="宋体" w:hAnsi="宋体" w:eastAsia="宋体" w:cs="Times New Roman"/>
                <w:sz w:val="24"/>
                <w:szCs w:val="24"/>
              </w:rPr>
              <w:t>具备网络传输功能的心电图机，数据采集完成后可通过无线或有线方式直接发送至心电中心服务器，由诊断中心进行集中诊断。</w:t>
            </w:r>
          </w:p>
          <w:p w14:paraId="1E9F4003">
            <w:pPr>
              <w:rPr>
                <w:rFonts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rPr>
              <w:tab/>
            </w:r>
            <w:r>
              <w:rPr>
                <w:rFonts w:hint="eastAsia" w:ascii="宋体" w:hAnsi="宋体" w:eastAsia="宋体" w:cs="Times New Roman"/>
                <w:sz w:val="24"/>
                <w:szCs w:val="24"/>
              </w:rPr>
              <w:t>支持对不具备网络传输功能的心电图机进行数字化改造，可兼容不同品牌型号的心电图机、采集盒以及其他检查设备。</w:t>
            </w:r>
          </w:p>
          <w:p w14:paraId="55C793FA">
            <w:pPr>
              <w:rPr>
                <w:rFonts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rPr>
              <w:tab/>
            </w:r>
            <w:r>
              <w:rPr>
                <w:rFonts w:hint="eastAsia" w:ascii="宋体" w:hAnsi="宋体" w:eastAsia="宋体" w:cs="Times New Roman"/>
                <w:sz w:val="24"/>
                <w:szCs w:val="24"/>
              </w:rPr>
              <w:t>移动场景下，支持第三方心电图机先离线采集再集中上传，无需借助PC、平板等即可通过网络直传诊断中心。</w:t>
            </w:r>
          </w:p>
          <w:p w14:paraId="25300208">
            <w:pPr>
              <w:rPr>
                <w:rFonts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eastAsia="宋体" w:cs="Times New Roman"/>
                <w:sz w:val="24"/>
                <w:szCs w:val="24"/>
              </w:rPr>
              <w:tab/>
            </w:r>
            <w:r>
              <w:rPr>
                <w:rFonts w:hint="eastAsia" w:ascii="宋体" w:hAnsi="宋体" w:eastAsia="宋体" w:cs="Times New Roman"/>
                <w:sz w:val="24"/>
                <w:szCs w:val="24"/>
              </w:rPr>
              <w:t>固定场景下，支持将现有心电设备直接连接电脑来实现心电数据接收，支持手动创建、扫码、读卡、输入卡号、下载预约记录等多种方式获取检查信息，支持设置加急和隐私患者处理。</w:t>
            </w:r>
          </w:p>
          <w:p w14:paraId="385FAA80">
            <w:pPr>
              <w:rPr>
                <w:rFonts w:ascii="宋体" w:hAnsi="宋体" w:eastAsia="宋体" w:cs="Times New Roman"/>
                <w:sz w:val="24"/>
                <w:szCs w:val="24"/>
              </w:rPr>
            </w:pPr>
            <w:r>
              <w:rPr>
                <w:rFonts w:hint="eastAsia" w:ascii="宋体" w:hAnsi="宋体" w:eastAsia="宋体" w:cs="Times New Roman"/>
                <w:sz w:val="24"/>
                <w:szCs w:val="24"/>
              </w:rPr>
              <w:t>7)</w:t>
            </w:r>
            <w:r>
              <w:rPr>
                <w:rFonts w:hint="eastAsia" w:ascii="宋体" w:hAnsi="宋体" w:eastAsia="宋体" w:cs="Times New Roman"/>
                <w:sz w:val="24"/>
                <w:szCs w:val="24"/>
              </w:rPr>
              <w:tab/>
            </w:r>
            <w:r>
              <w:rPr>
                <w:rFonts w:hint="eastAsia" w:ascii="宋体" w:hAnsi="宋体" w:eastAsia="宋体" w:cs="Times New Roman"/>
                <w:sz w:val="24"/>
                <w:szCs w:val="24"/>
              </w:rPr>
              <w:t>支持配置检查模式，可选常规十二导、常规十五导、常规十八导、心向量、心率变异、QT离散度、频谱心电、阿托品等。【提供功能界面截图】</w:t>
            </w:r>
          </w:p>
          <w:p w14:paraId="1CC42DC3">
            <w:pPr>
              <w:rPr>
                <w:rFonts w:ascii="宋体" w:hAnsi="宋体" w:eastAsia="宋体" w:cs="Times New Roman"/>
                <w:sz w:val="24"/>
                <w:szCs w:val="24"/>
              </w:rPr>
            </w:pPr>
            <w:r>
              <w:rPr>
                <w:rFonts w:hint="eastAsia" w:ascii="宋体" w:hAnsi="宋体" w:eastAsia="宋体" w:cs="Times New Roman"/>
                <w:sz w:val="24"/>
                <w:szCs w:val="24"/>
              </w:rPr>
              <w:t>8)</w:t>
            </w:r>
            <w:r>
              <w:rPr>
                <w:rFonts w:hint="eastAsia" w:ascii="宋体" w:hAnsi="宋体" w:eastAsia="宋体" w:cs="Times New Roman"/>
                <w:sz w:val="24"/>
                <w:szCs w:val="24"/>
              </w:rPr>
              <w:tab/>
            </w:r>
            <w:r>
              <w:rPr>
                <w:rFonts w:hint="eastAsia" w:ascii="宋体" w:hAnsi="宋体" w:eastAsia="宋体" w:cs="Times New Roman"/>
                <w:sz w:val="24"/>
                <w:szCs w:val="24"/>
              </w:rPr>
              <w:t>支持采集质量检测，在心电检查过程中实时提醒采集质量是否合格，伪差、导联脱落、左右手接反等实时提醒。【提供伪差、导联脱落、左右手接反实时提醒功能证明】</w:t>
            </w:r>
          </w:p>
          <w:p w14:paraId="49608873">
            <w:pPr>
              <w:rPr>
                <w:rFonts w:ascii="宋体" w:hAnsi="宋体" w:eastAsia="宋体" w:cs="Times New Roman"/>
                <w:sz w:val="24"/>
                <w:szCs w:val="24"/>
              </w:rPr>
            </w:pPr>
            <w:r>
              <w:rPr>
                <w:rFonts w:hint="eastAsia" w:ascii="宋体" w:hAnsi="宋体" w:eastAsia="宋体" w:cs="Times New Roman"/>
                <w:sz w:val="24"/>
                <w:szCs w:val="24"/>
              </w:rPr>
              <w:t>9)</w:t>
            </w:r>
            <w:r>
              <w:rPr>
                <w:rFonts w:hint="eastAsia" w:ascii="宋体" w:hAnsi="宋体" w:eastAsia="宋体" w:cs="Times New Roman"/>
                <w:sz w:val="24"/>
                <w:szCs w:val="24"/>
              </w:rPr>
              <w:tab/>
            </w:r>
            <w:r>
              <w:rPr>
                <w:rFonts w:hint="eastAsia" w:ascii="宋体" w:hAnsi="宋体" w:eastAsia="宋体" w:cs="Times New Roman"/>
                <w:sz w:val="24"/>
                <w:szCs w:val="24"/>
              </w:rPr>
              <w:t>支持图谱采集完成后预览，支持加采、重采功能；</w:t>
            </w:r>
          </w:p>
          <w:p w14:paraId="71027852">
            <w:pPr>
              <w:rPr>
                <w:rFonts w:ascii="宋体" w:hAnsi="宋体" w:eastAsia="宋体" w:cs="Times New Roman"/>
                <w:sz w:val="24"/>
                <w:szCs w:val="24"/>
              </w:rPr>
            </w:pPr>
            <w:r>
              <w:rPr>
                <w:rFonts w:hint="eastAsia" w:ascii="宋体" w:hAnsi="宋体" w:eastAsia="宋体" w:cs="Times New Roman"/>
                <w:sz w:val="24"/>
                <w:szCs w:val="24"/>
              </w:rPr>
              <w:t>10)</w:t>
            </w:r>
            <w:r>
              <w:rPr>
                <w:rFonts w:hint="eastAsia" w:ascii="宋体" w:hAnsi="宋体" w:eastAsia="宋体" w:cs="Times New Roman"/>
                <w:sz w:val="24"/>
                <w:szCs w:val="24"/>
              </w:rPr>
              <w:tab/>
            </w:r>
            <w:r>
              <w:rPr>
                <w:rFonts w:hint="eastAsia" w:ascii="宋体" w:hAnsi="宋体" w:eastAsia="宋体" w:cs="Times New Roman"/>
                <w:sz w:val="24"/>
                <w:szCs w:val="24"/>
              </w:rPr>
              <w:t>采集完成后支持自动分析危急值，分析结果包括以下几种类型：危急、阳性、正常、采集不良、未分析。</w:t>
            </w:r>
          </w:p>
          <w:p w14:paraId="7EAD228E">
            <w:pPr>
              <w:rPr>
                <w:rFonts w:ascii="宋体" w:hAnsi="宋体" w:eastAsia="宋体" w:cs="Times New Roman"/>
                <w:sz w:val="24"/>
                <w:szCs w:val="24"/>
              </w:rPr>
            </w:pPr>
            <w:r>
              <w:rPr>
                <w:rFonts w:hint="eastAsia" w:ascii="宋体" w:hAnsi="宋体" w:eastAsia="宋体" w:cs="Times New Roman"/>
                <w:sz w:val="24"/>
                <w:szCs w:val="24"/>
              </w:rPr>
              <w:t>11)</w:t>
            </w:r>
            <w:r>
              <w:rPr>
                <w:rFonts w:hint="eastAsia" w:ascii="宋体" w:hAnsi="宋体" w:eastAsia="宋体" w:cs="Times New Roman"/>
                <w:sz w:val="24"/>
                <w:szCs w:val="24"/>
              </w:rPr>
              <w:tab/>
            </w:r>
            <w:r>
              <w:rPr>
                <w:rFonts w:hint="eastAsia" w:ascii="宋体" w:hAnsi="宋体" w:eastAsia="宋体" w:cs="Times New Roman"/>
                <w:sz w:val="24"/>
                <w:szCs w:val="24"/>
              </w:rPr>
              <w:t>支持为严重病人申请加急诊断，加急的报告列表有加急的状态标记。</w:t>
            </w:r>
          </w:p>
          <w:p w14:paraId="35FA81CF">
            <w:pPr>
              <w:rPr>
                <w:rFonts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rPr>
              <w:tab/>
            </w:r>
            <w:r>
              <w:rPr>
                <w:rFonts w:hint="eastAsia" w:ascii="宋体" w:hAnsi="宋体" w:eastAsia="宋体" w:cs="Times New Roman"/>
                <w:sz w:val="24"/>
                <w:szCs w:val="24"/>
              </w:rPr>
              <w:t>医生工作站</w:t>
            </w:r>
          </w:p>
          <w:p w14:paraId="26AAF0A1">
            <w:pPr>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rPr>
              <w:tab/>
            </w:r>
            <w:r>
              <w:rPr>
                <w:rFonts w:hint="eastAsia" w:ascii="宋体" w:hAnsi="宋体" w:eastAsia="宋体" w:cs="Times New Roman"/>
                <w:sz w:val="24"/>
                <w:szCs w:val="24"/>
              </w:rPr>
              <w:t>为满足医院业务发展需要，医生工作站须提供静息心电、动态心电、动态血压综合分析功能：一套软件即可以进行静息心电、动态心电、动态血压三种检查的分析会诊工作，支持具有对应检查特点的专业分析工具。【提供功能界面截图】</w:t>
            </w:r>
          </w:p>
          <w:p w14:paraId="1030C7EB">
            <w:pPr>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rPr>
              <w:tab/>
            </w:r>
            <w:r>
              <w:rPr>
                <w:rFonts w:hint="eastAsia" w:ascii="宋体" w:hAnsi="宋体" w:eastAsia="宋体" w:cs="Times New Roman"/>
                <w:sz w:val="24"/>
                <w:szCs w:val="24"/>
              </w:rPr>
              <w:t>心电图诊断报告系统具备权限管理功能，给不同的医生进行权限配置。</w:t>
            </w:r>
          </w:p>
          <w:p w14:paraId="3151C351">
            <w:pPr>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rPr>
              <w:tab/>
            </w:r>
            <w:r>
              <w:rPr>
                <w:rFonts w:hint="eastAsia" w:ascii="宋体" w:hAnsi="宋体" w:eastAsia="宋体" w:cs="Times New Roman"/>
                <w:sz w:val="24"/>
                <w:szCs w:val="24"/>
              </w:rPr>
              <w:t>接收到远程诊断申请后，系统支持后台预分析，对于系统已经判断出存在危险情况的病人标明危急，在客户端、web端、移动端以弹窗、消息等多种方式向诊断医生预警。</w:t>
            </w:r>
          </w:p>
          <w:p w14:paraId="6F3FBF78">
            <w:pPr>
              <w:rPr>
                <w:rFonts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rPr>
              <w:tab/>
            </w:r>
            <w:r>
              <w:rPr>
                <w:rFonts w:hint="eastAsia" w:ascii="宋体" w:hAnsi="宋体" w:eastAsia="宋体" w:cs="Times New Roman"/>
                <w:sz w:val="24"/>
                <w:szCs w:val="24"/>
              </w:rPr>
              <w:t>支持诊断医生对不符合要求的图谱进行退回、加采、重采等操作；支持退回加采/重采报告加注原因。</w:t>
            </w:r>
          </w:p>
          <w:p w14:paraId="44631DF7">
            <w:pPr>
              <w:rPr>
                <w:rFonts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rPr>
              <w:tab/>
            </w:r>
            <w:r>
              <w:rPr>
                <w:rFonts w:hint="eastAsia" w:ascii="宋体" w:hAnsi="宋体" w:eastAsia="宋体" w:cs="Times New Roman"/>
                <w:sz w:val="24"/>
                <w:szCs w:val="24"/>
              </w:rPr>
              <w:t>系统支持设置强制审核模式，设置为强制审核模式的报告必须进行双签之后才能发布，以满足医院多业务形态的需要。【提供强制审核模式功能截图证明】</w:t>
            </w:r>
          </w:p>
          <w:p w14:paraId="25889E2F">
            <w:pPr>
              <w:rPr>
                <w:rFonts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eastAsia="宋体" w:cs="Times New Roman"/>
                <w:sz w:val="24"/>
                <w:szCs w:val="24"/>
              </w:rPr>
              <w:tab/>
            </w:r>
            <w:r>
              <w:rPr>
                <w:rFonts w:hint="eastAsia" w:ascii="宋体" w:hAnsi="宋体" w:eastAsia="宋体" w:cs="Times New Roman"/>
                <w:sz w:val="24"/>
                <w:szCs w:val="24"/>
              </w:rPr>
              <w:t>为提高医生工作效率，系统支持同屏显示报告列表和看图界面。可直接在看图页中查看列表数据，无需在列表页和详情页中来回切换。</w:t>
            </w:r>
          </w:p>
          <w:p w14:paraId="4F4714ED">
            <w:pPr>
              <w:rPr>
                <w:rFonts w:ascii="宋体" w:hAnsi="宋体" w:eastAsia="宋体" w:cs="Times New Roman"/>
                <w:sz w:val="24"/>
                <w:szCs w:val="24"/>
              </w:rPr>
            </w:pPr>
            <w:r>
              <w:rPr>
                <w:rFonts w:hint="eastAsia" w:ascii="宋体" w:hAnsi="宋体" w:eastAsia="宋体" w:cs="Times New Roman"/>
                <w:sz w:val="24"/>
                <w:szCs w:val="24"/>
              </w:rPr>
              <w:t>7)</w:t>
            </w:r>
            <w:r>
              <w:rPr>
                <w:rFonts w:hint="eastAsia" w:ascii="宋体" w:hAnsi="宋体" w:eastAsia="宋体" w:cs="Times New Roman"/>
                <w:sz w:val="24"/>
                <w:szCs w:val="24"/>
              </w:rPr>
              <w:tab/>
            </w:r>
            <w:r>
              <w:rPr>
                <w:rFonts w:hint="eastAsia" w:ascii="宋体" w:hAnsi="宋体" w:eastAsia="宋体" w:cs="Times New Roman"/>
                <w:sz w:val="24"/>
                <w:szCs w:val="24"/>
              </w:rPr>
              <w:t>支持导联布局、走速、增益、滤波调整等操作</w:t>
            </w:r>
          </w:p>
          <w:p w14:paraId="361F6DCF">
            <w:pPr>
              <w:rPr>
                <w:rFonts w:ascii="宋体" w:hAnsi="宋体" w:eastAsia="宋体" w:cs="Times New Roman"/>
                <w:sz w:val="24"/>
                <w:szCs w:val="24"/>
              </w:rPr>
            </w:pPr>
            <w:r>
              <w:rPr>
                <w:rFonts w:hint="eastAsia" w:ascii="宋体" w:hAnsi="宋体" w:eastAsia="宋体" w:cs="Times New Roman"/>
                <w:sz w:val="24"/>
                <w:szCs w:val="24"/>
              </w:rPr>
              <w:t>8)</w:t>
            </w:r>
            <w:r>
              <w:rPr>
                <w:rFonts w:hint="eastAsia" w:ascii="宋体" w:hAnsi="宋体" w:eastAsia="宋体" w:cs="Times New Roman"/>
                <w:sz w:val="24"/>
                <w:szCs w:val="24"/>
              </w:rPr>
              <w:tab/>
            </w:r>
            <w:r>
              <w:rPr>
                <w:rFonts w:hint="eastAsia" w:ascii="宋体" w:hAnsi="宋体" w:eastAsia="宋体" w:cs="Times New Roman"/>
                <w:sz w:val="24"/>
                <w:szCs w:val="24"/>
              </w:rPr>
              <w:t>支持查看图谱波形展示方式切换，可使用同步导联或连续导联模式展示,支持查看图谱总时长。</w:t>
            </w:r>
          </w:p>
          <w:p w14:paraId="05420167">
            <w:pPr>
              <w:rPr>
                <w:rFonts w:ascii="宋体" w:hAnsi="宋体" w:eastAsia="宋体" w:cs="Times New Roman"/>
                <w:sz w:val="24"/>
                <w:szCs w:val="24"/>
              </w:rPr>
            </w:pPr>
            <w:r>
              <w:rPr>
                <w:rFonts w:hint="eastAsia" w:ascii="宋体" w:hAnsi="宋体" w:eastAsia="宋体" w:cs="Times New Roman"/>
                <w:sz w:val="24"/>
                <w:szCs w:val="24"/>
              </w:rPr>
              <w:t>9)</w:t>
            </w:r>
            <w:r>
              <w:rPr>
                <w:rFonts w:hint="eastAsia" w:ascii="宋体" w:hAnsi="宋体" w:eastAsia="宋体" w:cs="Times New Roman"/>
                <w:sz w:val="24"/>
                <w:szCs w:val="24"/>
              </w:rPr>
              <w:tab/>
            </w:r>
            <w:r>
              <w:rPr>
                <w:rFonts w:hint="eastAsia" w:ascii="宋体" w:hAnsi="宋体" w:eastAsia="宋体" w:cs="Times New Roman"/>
                <w:sz w:val="24"/>
                <w:szCs w:val="24"/>
              </w:rPr>
              <w:t>支持在图谱上通过测量工具测量某段波形的电压值、心率和间期测值。</w:t>
            </w:r>
          </w:p>
          <w:p w14:paraId="50C270A0">
            <w:pPr>
              <w:rPr>
                <w:rFonts w:ascii="宋体" w:hAnsi="宋体" w:eastAsia="宋体" w:cs="Times New Roman"/>
                <w:sz w:val="24"/>
                <w:szCs w:val="24"/>
              </w:rPr>
            </w:pPr>
            <w:r>
              <w:rPr>
                <w:rFonts w:hint="eastAsia" w:ascii="宋体" w:hAnsi="宋体" w:eastAsia="宋体" w:cs="Times New Roman"/>
                <w:sz w:val="24"/>
                <w:szCs w:val="24"/>
              </w:rPr>
              <w:t>10)</w:t>
            </w:r>
            <w:r>
              <w:rPr>
                <w:rFonts w:hint="eastAsia" w:ascii="宋体" w:hAnsi="宋体" w:eastAsia="宋体" w:cs="Times New Roman"/>
                <w:sz w:val="24"/>
                <w:szCs w:val="24"/>
              </w:rPr>
              <w:tab/>
            </w:r>
            <w:r>
              <w:rPr>
                <w:rFonts w:hint="eastAsia" w:ascii="宋体" w:hAnsi="宋体" w:eastAsia="宋体" w:cs="Times New Roman"/>
                <w:sz w:val="24"/>
                <w:szCs w:val="24"/>
              </w:rPr>
              <w:t>支持心搏放大功能，通过心搏放大查看某个心搏，调整波形形态识别后重新发送测值。</w:t>
            </w:r>
          </w:p>
          <w:p w14:paraId="48C41F00">
            <w:pPr>
              <w:rPr>
                <w:rFonts w:ascii="宋体" w:hAnsi="宋体" w:eastAsia="宋体" w:cs="Times New Roman"/>
                <w:sz w:val="24"/>
                <w:szCs w:val="24"/>
              </w:rPr>
            </w:pPr>
            <w:r>
              <w:rPr>
                <w:rFonts w:hint="eastAsia" w:ascii="宋体" w:hAnsi="宋体" w:eastAsia="宋体" w:cs="Times New Roman"/>
                <w:sz w:val="24"/>
                <w:szCs w:val="24"/>
              </w:rPr>
              <w:t>11)</w:t>
            </w:r>
            <w:r>
              <w:rPr>
                <w:rFonts w:hint="eastAsia" w:ascii="宋体" w:hAnsi="宋体" w:eastAsia="宋体" w:cs="Times New Roman"/>
                <w:sz w:val="24"/>
                <w:szCs w:val="24"/>
              </w:rPr>
              <w:tab/>
            </w:r>
            <w:r>
              <w:rPr>
                <w:rFonts w:hint="eastAsia" w:ascii="宋体" w:hAnsi="宋体" w:eastAsia="宋体" w:cs="Times New Roman"/>
                <w:sz w:val="24"/>
                <w:szCs w:val="24"/>
              </w:rPr>
              <w:t>系统具备并行分规功能。</w:t>
            </w:r>
          </w:p>
          <w:p w14:paraId="50912BB1">
            <w:pPr>
              <w:rPr>
                <w:rFonts w:ascii="宋体" w:hAnsi="宋体" w:eastAsia="宋体" w:cs="Times New Roman"/>
                <w:sz w:val="24"/>
                <w:szCs w:val="24"/>
              </w:rPr>
            </w:pPr>
            <w:r>
              <w:rPr>
                <w:rFonts w:hint="eastAsia" w:ascii="宋体" w:hAnsi="宋体" w:eastAsia="宋体" w:cs="Times New Roman"/>
                <w:sz w:val="24"/>
                <w:szCs w:val="24"/>
              </w:rPr>
              <w:t>12)</w:t>
            </w:r>
            <w:r>
              <w:rPr>
                <w:rFonts w:hint="eastAsia" w:ascii="宋体" w:hAnsi="宋体" w:eastAsia="宋体" w:cs="Times New Roman"/>
                <w:sz w:val="24"/>
                <w:szCs w:val="24"/>
              </w:rPr>
              <w:tab/>
            </w:r>
            <w:r>
              <w:rPr>
                <w:rFonts w:hint="eastAsia" w:ascii="宋体" w:hAnsi="宋体" w:eastAsia="宋体" w:cs="Times New Roman"/>
                <w:sz w:val="24"/>
                <w:szCs w:val="24"/>
              </w:rPr>
              <w:t>支持在心电图波形区域的异常位置做标记，提供图像注释说明记录。</w:t>
            </w:r>
          </w:p>
          <w:p w14:paraId="12C95695">
            <w:pPr>
              <w:rPr>
                <w:rFonts w:ascii="宋体" w:hAnsi="宋体" w:eastAsia="宋体" w:cs="Times New Roman"/>
                <w:sz w:val="24"/>
                <w:szCs w:val="24"/>
              </w:rPr>
            </w:pPr>
            <w:r>
              <w:rPr>
                <w:rFonts w:hint="eastAsia" w:ascii="宋体" w:hAnsi="宋体" w:eastAsia="宋体" w:cs="Times New Roman"/>
                <w:sz w:val="24"/>
                <w:szCs w:val="24"/>
              </w:rPr>
              <w:t>13)</w:t>
            </w:r>
            <w:r>
              <w:rPr>
                <w:rFonts w:hint="eastAsia" w:ascii="宋体" w:hAnsi="宋体" w:eastAsia="宋体" w:cs="Times New Roman"/>
                <w:sz w:val="24"/>
                <w:szCs w:val="24"/>
              </w:rPr>
              <w:tab/>
            </w:r>
            <w:r>
              <w:rPr>
                <w:rFonts w:hint="eastAsia" w:ascii="宋体" w:hAnsi="宋体" w:eastAsia="宋体" w:cs="Times New Roman"/>
                <w:sz w:val="24"/>
                <w:szCs w:val="24"/>
              </w:rPr>
              <w:t>支持组合导联功能：使用十二导设备采集两份十二导数据合并为十八导数据，满足附加导联的检查要求。</w:t>
            </w:r>
          </w:p>
          <w:p w14:paraId="24626318">
            <w:pPr>
              <w:rPr>
                <w:rFonts w:ascii="宋体" w:hAnsi="宋体" w:eastAsia="宋体" w:cs="Times New Roman"/>
                <w:sz w:val="24"/>
                <w:szCs w:val="24"/>
              </w:rPr>
            </w:pPr>
            <w:r>
              <w:rPr>
                <w:rFonts w:hint="eastAsia" w:ascii="宋体" w:hAnsi="宋体" w:eastAsia="宋体" w:cs="Times New Roman"/>
                <w:sz w:val="24"/>
                <w:szCs w:val="24"/>
              </w:rPr>
              <w:t>14)</w:t>
            </w:r>
            <w:r>
              <w:rPr>
                <w:rFonts w:hint="eastAsia" w:ascii="宋体" w:hAnsi="宋体" w:eastAsia="宋体" w:cs="Times New Roman"/>
                <w:sz w:val="24"/>
                <w:szCs w:val="24"/>
              </w:rPr>
              <w:tab/>
            </w:r>
            <w:r>
              <w:rPr>
                <w:rFonts w:hint="eastAsia" w:ascii="宋体" w:hAnsi="宋体" w:eastAsia="宋体" w:cs="Times New Roman"/>
                <w:sz w:val="24"/>
                <w:szCs w:val="24"/>
              </w:rPr>
              <w:t>提供典型病例收藏功能，支持医生自定义收藏分类，为医生后期培训和进行科研提供素材。【提供系统具备此功能证明材料】</w:t>
            </w:r>
          </w:p>
          <w:p w14:paraId="783C3744">
            <w:pPr>
              <w:rPr>
                <w:rFonts w:ascii="宋体" w:hAnsi="宋体" w:eastAsia="宋体" w:cs="Times New Roman"/>
                <w:sz w:val="24"/>
                <w:szCs w:val="24"/>
              </w:rPr>
            </w:pPr>
            <w:r>
              <w:rPr>
                <w:rFonts w:hint="eastAsia" w:ascii="宋体" w:hAnsi="宋体" w:eastAsia="宋体" w:cs="Times New Roman"/>
                <w:sz w:val="24"/>
                <w:szCs w:val="24"/>
              </w:rPr>
              <w:t>15)</w:t>
            </w:r>
            <w:r>
              <w:rPr>
                <w:rFonts w:hint="eastAsia" w:ascii="宋体" w:hAnsi="宋体" w:eastAsia="宋体" w:cs="Times New Roman"/>
                <w:sz w:val="24"/>
                <w:szCs w:val="24"/>
              </w:rPr>
              <w:tab/>
            </w:r>
            <w:r>
              <w:rPr>
                <w:rFonts w:hint="eastAsia" w:ascii="宋体" w:hAnsi="宋体" w:eastAsia="宋体" w:cs="Times New Roman"/>
                <w:sz w:val="24"/>
                <w:szCs w:val="24"/>
              </w:rPr>
              <w:t>支持导联纠错功能，在肢体导联接反或胸导联接错的情况下，可以通过软件直接修正，无需重新采集。</w:t>
            </w:r>
          </w:p>
          <w:p w14:paraId="187CCD39">
            <w:pPr>
              <w:rPr>
                <w:rFonts w:ascii="宋体" w:hAnsi="宋体" w:eastAsia="宋体" w:cs="Times New Roman"/>
                <w:sz w:val="24"/>
                <w:szCs w:val="24"/>
              </w:rPr>
            </w:pPr>
            <w:r>
              <w:rPr>
                <w:rFonts w:hint="eastAsia" w:ascii="宋体" w:hAnsi="宋体" w:eastAsia="宋体" w:cs="Times New Roman"/>
                <w:sz w:val="24"/>
                <w:szCs w:val="24"/>
              </w:rPr>
              <w:t>16)</w:t>
            </w:r>
            <w:r>
              <w:rPr>
                <w:rFonts w:hint="eastAsia" w:ascii="宋体" w:hAnsi="宋体" w:eastAsia="宋体" w:cs="Times New Roman"/>
                <w:sz w:val="24"/>
                <w:szCs w:val="24"/>
              </w:rPr>
              <w:tab/>
            </w:r>
            <w:r>
              <w:rPr>
                <w:rFonts w:hint="eastAsia" w:ascii="宋体" w:hAnsi="宋体" w:eastAsia="宋体" w:cs="Times New Roman"/>
                <w:sz w:val="24"/>
                <w:szCs w:val="24"/>
              </w:rPr>
              <w:t>支持漏诊提示，对心电图因显示分辨率问题导致的可能被疏忽的细节异常进行提示，防止造成漏诊。</w:t>
            </w:r>
          </w:p>
          <w:p w14:paraId="484EA10C">
            <w:pPr>
              <w:rPr>
                <w:rFonts w:ascii="宋体" w:hAnsi="宋体" w:eastAsia="宋体" w:cs="Times New Roman"/>
                <w:sz w:val="24"/>
                <w:szCs w:val="24"/>
              </w:rPr>
            </w:pPr>
            <w:r>
              <w:rPr>
                <w:rFonts w:hint="eastAsia" w:ascii="宋体" w:hAnsi="宋体" w:eastAsia="宋体" w:cs="Times New Roman"/>
                <w:sz w:val="24"/>
                <w:szCs w:val="24"/>
              </w:rPr>
              <w:t>17)</w:t>
            </w:r>
            <w:r>
              <w:rPr>
                <w:rFonts w:hint="eastAsia" w:ascii="宋体" w:hAnsi="宋体" w:eastAsia="宋体" w:cs="Times New Roman"/>
                <w:sz w:val="24"/>
                <w:szCs w:val="24"/>
              </w:rPr>
              <w:tab/>
            </w:r>
            <w:r>
              <w:rPr>
                <w:rFonts w:hint="eastAsia" w:ascii="宋体" w:hAnsi="宋体" w:eastAsia="宋体" w:cs="Times New Roman"/>
                <w:sz w:val="24"/>
                <w:szCs w:val="24"/>
              </w:rPr>
              <w:t>支持图谱对比功能，支持将5份及以上历史报告加入对比，可引用对比报告的诊断结论。</w:t>
            </w:r>
          </w:p>
          <w:p w14:paraId="4722D66B">
            <w:pPr>
              <w:rPr>
                <w:rFonts w:ascii="宋体" w:hAnsi="宋体" w:eastAsia="宋体" w:cs="Times New Roman"/>
                <w:sz w:val="24"/>
                <w:szCs w:val="24"/>
              </w:rPr>
            </w:pPr>
            <w:r>
              <w:rPr>
                <w:rFonts w:hint="eastAsia" w:ascii="宋体" w:hAnsi="宋体" w:eastAsia="宋体" w:cs="Times New Roman"/>
                <w:sz w:val="24"/>
                <w:szCs w:val="24"/>
              </w:rPr>
              <w:t>18)</w:t>
            </w:r>
            <w:r>
              <w:rPr>
                <w:rFonts w:hint="eastAsia" w:ascii="宋体" w:hAnsi="宋体" w:eastAsia="宋体" w:cs="Times New Roman"/>
                <w:sz w:val="24"/>
                <w:szCs w:val="24"/>
              </w:rPr>
              <w:tab/>
            </w:r>
            <w:r>
              <w:rPr>
                <w:rFonts w:hint="eastAsia" w:ascii="宋体" w:hAnsi="宋体" w:eastAsia="宋体" w:cs="Times New Roman"/>
                <w:sz w:val="24"/>
                <w:szCs w:val="24"/>
              </w:rPr>
              <w:t>支持叠加波分析，可对所有导联心搏进行叠加趋势分析。</w:t>
            </w:r>
          </w:p>
          <w:p w14:paraId="49770FF9">
            <w:pPr>
              <w:rPr>
                <w:rFonts w:ascii="宋体" w:hAnsi="宋体" w:eastAsia="宋体" w:cs="Times New Roman"/>
                <w:sz w:val="24"/>
                <w:szCs w:val="24"/>
              </w:rPr>
            </w:pPr>
            <w:r>
              <w:rPr>
                <w:rFonts w:hint="eastAsia" w:ascii="宋体" w:hAnsi="宋体" w:eastAsia="宋体" w:cs="Times New Roman"/>
                <w:sz w:val="24"/>
                <w:szCs w:val="24"/>
              </w:rPr>
              <w:t>19)</w:t>
            </w:r>
            <w:r>
              <w:rPr>
                <w:rFonts w:hint="eastAsia" w:ascii="宋体" w:hAnsi="宋体" w:eastAsia="宋体" w:cs="Times New Roman"/>
                <w:sz w:val="24"/>
                <w:szCs w:val="24"/>
              </w:rPr>
              <w:tab/>
            </w:r>
            <w:r>
              <w:rPr>
                <w:rFonts w:hint="eastAsia" w:ascii="宋体" w:hAnsi="宋体" w:eastAsia="宋体" w:cs="Times New Roman"/>
                <w:sz w:val="24"/>
                <w:szCs w:val="24"/>
              </w:rPr>
              <w:t>支持测值超过正常范围，显示成红色，且测值有最大和最小值限制。</w:t>
            </w:r>
          </w:p>
          <w:p w14:paraId="3675AC2D">
            <w:pPr>
              <w:rPr>
                <w:rFonts w:ascii="宋体" w:hAnsi="宋体" w:eastAsia="宋体" w:cs="Times New Roman"/>
                <w:sz w:val="24"/>
                <w:szCs w:val="24"/>
              </w:rPr>
            </w:pPr>
            <w:r>
              <w:rPr>
                <w:rFonts w:hint="eastAsia" w:ascii="宋体" w:hAnsi="宋体" w:eastAsia="宋体" w:cs="Times New Roman"/>
                <w:sz w:val="24"/>
                <w:szCs w:val="24"/>
              </w:rPr>
              <w:t>20)</w:t>
            </w:r>
            <w:r>
              <w:rPr>
                <w:rFonts w:hint="eastAsia" w:ascii="宋体" w:hAnsi="宋体" w:eastAsia="宋体" w:cs="Times New Roman"/>
                <w:sz w:val="24"/>
                <w:szCs w:val="24"/>
              </w:rPr>
              <w:tab/>
            </w:r>
            <w:r>
              <w:rPr>
                <w:rFonts w:hint="eastAsia" w:ascii="宋体" w:hAnsi="宋体" w:eastAsia="宋体" w:cs="Times New Roman"/>
                <w:sz w:val="24"/>
                <w:szCs w:val="24"/>
              </w:rPr>
              <w:t>支持测值根据词条联动，如死亡心电图/无心电活动：所有测值置“/”，房颤：房率、P波时限、PR间期、P电轴置“/”，房扑：P波时限、PR间期、P电轴置“/”。</w:t>
            </w:r>
          </w:p>
          <w:p w14:paraId="2BB40EE1">
            <w:pPr>
              <w:rPr>
                <w:rFonts w:ascii="宋体" w:hAnsi="宋体" w:eastAsia="宋体" w:cs="Times New Roman"/>
                <w:sz w:val="24"/>
                <w:szCs w:val="24"/>
              </w:rPr>
            </w:pPr>
            <w:r>
              <w:rPr>
                <w:rFonts w:hint="eastAsia" w:ascii="宋体" w:hAnsi="宋体" w:eastAsia="宋体" w:cs="Times New Roman"/>
                <w:sz w:val="24"/>
                <w:szCs w:val="24"/>
              </w:rPr>
              <w:t>21)</w:t>
            </w:r>
            <w:r>
              <w:rPr>
                <w:rFonts w:hint="eastAsia" w:ascii="宋体" w:hAnsi="宋体" w:eastAsia="宋体" w:cs="Times New Roman"/>
                <w:sz w:val="24"/>
                <w:szCs w:val="24"/>
              </w:rPr>
              <w:tab/>
            </w:r>
            <w:r>
              <w:rPr>
                <w:rFonts w:hint="eastAsia" w:ascii="宋体" w:hAnsi="宋体" w:eastAsia="宋体" w:cs="Times New Roman"/>
                <w:sz w:val="24"/>
                <w:szCs w:val="24"/>
              </w:rPr>
              <w:t>支持胸痛加急功能，诊断界面有胸痛加急按钮，点击之后有胸痛加急的提示弹窗并可将检查完成消息推送到手机微信端。【提供功能界面截图】</w:t>
            </w:r>
          </w:p>
          <w:p w14:paraId="44B7DAF4">
            <w:pPr>
              <w:rPr>
                <w:rFonts w:ascii="宋体" w:hAnsi="宋体" w:eastAsia="宋体" w:cs="Times New Roman"/>
                <w:sz w:val="24"/>
                <w:szCs w:val="24"/>
              </w:rPr>
            </w:pPr>
            <w:r>
              <w:rPr>
                <w:rFonts w:hint="eastAsia" w:ascii="宋体" w:hAnsi="宋体" w:eastAsia="宋体" w:cs="Times New Roman"/>
                <w:sz w:val="24"/>
                <w:szCs w:val="24"/>
              </w:rPr>
              <w:t>22)</w:t>
            </w:r>
            <w:r>
              <w:rPr>
                <w:rFonts w:hint="eastAsia" w:ascii="宋体" w:hAnsi="宋体" w:eastAsia="宋体" w:cs="Times New Roman"/>
                <w:sz w:val="24"/>
                <w:szCs w:val="24"/>
              </w:rPr>
              <w:tab/>
            </w:r>
            <w:r>
              <w:rPr>
                <w:rFonts w:hint="eastAsia" w:ascii="宋体" w:hAnsi="宋体" w:eastAsia="宋体" w:cs="Times New Roman"/>
                <w:sz w:val="24"/>
                <w:szCs w:val="24"/>
              </w:rPr>
              <w:t>提供标准的心电图诊断词条，辅助医生快速进行报告编辑，在编辑过程中支持词条模糊查询及词条与测值的联动。【提供功能界面截图证明】</w:t>
            </w:r>
          </w:p>
          <w:p w14:paraId="2CB7935E">
            <w:pPr>
              <w:rPr>
                <w:rFonts w:ascii="宋体" w:hAnsi="宋体" w:eastAsia="宋体" w:cs="Times New Roman"/>
                <w:sz w:val="24"/>
                <w:szCs w:val="24"/>
              </w:rPr>
            </w:pPr>
            <w:r>
              <w:rPr>
                <w:rFonts w:hint="eastAsia" w:ascii="宋体" w:hAnsi="宋体" w:eastAsia="宋体" w:cs="Times New Roman"/>
                <w:sz w:val="24"/>
                <w:szCs w:val="24"/>
              </w:rPr>
              <w:t>23)</w:t>
            </w:r>
            <w:r>
              <w:rPr>
                <w:rFonts w:hint="eastAsia" w:ascii="宋体" w:hAnsi="宋体" w:eastAsia="宋体" w:cs="Times New Roman"/>
                <w:sz w:val="24"/>
                <w:szCs w:val="24"/>
              </w:rPr>
              <w:tab/>
            </w:r>
            <w:r>
              <w:rPr>
                <w:rFonts w:hint="eastAsia" w:ascii="宋体" w:hAnsi="宋体" w:eastAsia="宋体" w:cs="Times New Roman"/>
                <w:sz w:val="24"/>
                <w:szCs w:val="24"/>
              </w:rPr>
              <w:t xml:space="preserve">支持ST Map功能。 </w:t>
            </w:r>
          </w:p>
          <w:p w14:paraId="701B2645">
            <w:pPr>
              <w:rPr>
                <w:rFonts w:ascii="宋体" w:hAnsi="宋体" w:eastAsia="宋体" w:cs="Times New Roman"/>
                <w:sz w:val="24"/>
                <w:szCs w:val="24"/>
              </w:rPr>
            </w:pPr>
            <w:r>
              <w:rPr>
                <w:rFonts w:hint="eastAsia" w:ascii="宋体" w:hAnsi="宋体" w:eastAsia="宋体" w:cs="Times New Roman"/>
                <w:sz w:val="24"/>
                <w:szCs w:val="24"/>
              </w:rPr>
              <w:t>24)</w:t>
            </w:r>
            <w:r>
              <w:rPr>
                <w:rFonts w:hint="eastAsia" w:ascii="宋体" w:hAnsi="宋体" w:eastAsia="宋体" w:cs="Times New Roman"/>
                <w:sz w:val="24"/>
                <w:szCs w:val="24"/>
              </w:rPr>
              <w:tab/>
            </w:r>
            <w:r>
              <w:rPr>
                <w:rFonts w:hint="eastAsia" w:ascii="宋体" w:hAnsi="宋体" w:eastAsia="宋体" w:cs="Times New Roman"/>
                <w:sz w:val="24"/>
                <w:szCs w:val="24"/>
              </w:rPr>
              <w:t>支持梯形图生成技术。【提供梯形图功能界面截图证明】</w:t>
            </w:r>
          </w:p>
          <w:p w14:paraId="4E799609">
            <w:pPr>
              <w:rPr>
                <w:rFonts w:ascii="宋体" w:hAnsi="宋体" w:eastAsia="宋体" w:cs="Times New Roman"/>
                <w:sz w:val="24"/>
                <w:szCs w:val="24"/>
              </w:rPr>
            </w:pPr>
            <w:r>
              <w:rPr>
                <w:rFonts w:hint="eastAsia" w:ascii="宋体" w:hAnsi="宋体" w:eastAsia="宋体" w:cs="Times New Roman"/>
                <w:sz w:val="24"/>
                <w:szCs w:val="24"/>
              </w:rPr>
              <w:t>25)</w:t>
            </w:r>
            <w:r>
              <w:rPr>
                <w:rFonts w:hint="eastAsia" w:ascii="宋体" w:hAnsi="宋体" w:eastAsia="宋体" w:cs="Times New Roman"/>
                <w:sz w:val="24"/>
                <w:szCs w:val="24"/>
              </w:rPr>
              <w:tab/>
            </w:r>
            <w:r>
              <w:rPr>
                <w:rFonts w:hint="eastAsia" w:ascii="宋体" w:hAnsi="宋体" w:eastAsia="宋体" w:cs="Times New Roman"/>
                <w:sz w:val="24"/>
                <w:szCs w:val="24"/>
              </w:rPr>
              <w:t>支持频谱心电、高频心电、QT离散度、心电向量、心室晚电位、心率变异等分析功能。</w:t>
            </w:r>
          </w:p>
          <w:p w14:paraId="2D39A98B">
            <w:pPr>
              <w:rPr>
                <w:rFonts w:ascii="宋体" w:hAnsi="宋体" w:eastAsia="宋体" w:cs="Times New Roman"/>
                <w:sz w:val="24"/>
                <w:szCs w:val="24"/>
              </w:rPr>
            </w:pPr>
            <w:r>
              <w:rPr>
                <w:rFonts w:hint="eastAsia" w:ascii="宋体" w:hAnsi="宋体" w:eastAsia="宋体" w:cs="Times New Roman"/>
                <w:sz w:val="24"/>
                <w:szCs w:val="24"/>
              </w:rPr>
              <w:t>26)</w:t>
            </w:r>
            <w:r>
              <w:rPr>
                <w:rFonts w:hint="eastAsia" w:ascii="宋体" w:hAnsi="宋体" w:eastAsia="宋体" w:cs="Times New Roman"/>
                <w:sz w:val="24"/>
                <w:szCs w:val="24"/>
              </w:rPr>
              <w:tab/>
            </w:r>
            <w:r>
              <w:rPr>
                <w:rFonts w:hint="eastAsia" w:ascii="宋体" w:hAnsi="宋体" w:eastAsia="宋体" w:cs="Times New Roman"/>
                <w:sz w:val="24"/>
                <w:szCs w:val="24"/>
              </w:rPr>
              <w:t>支持阿托品等药物试验功能，可显示药物试验条件下的数据、绘制心率变化曲线以及导联波形。【提供阿托品药物试验功能证明材料】</w:t>
            </w:r>
          </w:p>
          <w:p w14:paraId="51BEF4F3">
            <w:pPr>
              <w:rPr>
                <w:rFonts w:ascii="宋体" w:hAnsi="宋体" w:eastAsia="宋体" w:cs="Times New Roman"/>
                <w:sz w:val="24"/>
                <w:szCs w:val="24"/>
              </w:rPr>
            </w:pPr>
            <w:r>
              <w:rPr>
                <w:rFonts w:hint="eastAsia" w:ascii="宋体" w:hAnsi="宋体" w:eastAsia="宋体" w:cs="Times New Roman"/>
                <w:sz w:val="24"/>
                <w:szCs w:val="24"/>
              </w:rPr>
              <w:t>27)</w:t>
            </w:r>
            <w:r>
              <w:rPr>
                <w:rFonts w:hint="eastAsia" w:ascii="宋体" w:hAnsi="宋体" w:eastAsia="宋体" w:cs="Times New Roman"/>
                <w:sz w:val="24"/>
                <w:szCs w:val="24"/>
              </w:rPr>
              <w:tab/>
            </w:r>
            <w:r>
              <w:rPr>
                <w:rFonts w:hint="eastAsia" w:ascii="宋体" w:hAnsi="宋体" w:eastAsia="宋体" w:cs="Times New Roman"/>
                <w:sz w:val="24"/>
                <w:szCs w:val="24"/>
              </w:rPr>
              <w:t>支持心电自动诊断技术，对心电报告进行自动化分析和诊断，辅助诊断医生进行报告诊断，提高诊断效率和质量。</w:t>
            </w:r>
          </w:p>
          <w:p w14:paraId="3FAD2C2A">
            <w:pPr>
              <w:rPr>
                <w:rFonts w:ascii="宋体" w:hAnsi="宋体" w:eastAsia="宋体" w:cs="Times New Roman"/>
                <w:sz w:val="24"/>
                <w:szCs w:val="24"/>
              </w:rPr>
            </w:pPr>
            <w:r>
              <w:rPr>
                <w:rFonts w:hint="eastAsia" w:ascii="宋体" w:hAnsi="宋体" w:eastAsia="宋体" w:cs="Times New Roman"/>
                <w:sz w:val="24"/>
                <w:szCs w:val="24"/>
              </w:rPr>
              <w:t>28)</w:t>
            </w:r>
            <w:r>
              <w:rPr>
                <w:rFonts w:hint="eastAsia" w:ascii="宋体" w:hAnsi="宋体" w:eastAsia="宋体" w:cs="Times New Roman"/>
                <w:sz w:val="24"/>
                <w:szCs w:val="24"/>
              </w:rPr>
              <w:tab/>
            </w:r>
            <w:r>
              <w:rPr>
                <w:rFonts w:hint="eastAsia" w:ascii="宋体" w:hAnsi="宋体" w:eastAsia="宋体" w:cs="Times New Roman"/>
                <w:sz w:val="24"/>
                <w:szCs w:val="24"/>
              </w:rPr>
              <w:t>可依据自动诊断结果提供危急值预警功能，通过微信等方式自动推送到相关人员手机上，提醒医护人员及时关注危急心电图。</w:t>
            </w:r>
          </w:p>
          <w:p w14:paraId="211032FD">
            <w:pPr>
              <w:rPr>
                <w:rFonts w:ascii="宋体" w:hAnsi="宋体" w:eastAsia="宋体" w:cs="Times New Roman"/>
                <w:sz w:val="24"/>
                <w:szCs w:val="24"/>
              </w:rPr>
            </w:pPr>
            <w:r>
              <w:rPr>
                <w:rFonts w:hint="eastAsia" w:ascii="宋体" w:hAnsi="宋体" w:eastAsia="宋体" w:cs="Times New Roman"/>
                <w:sz w:val="24"/>
                <w:szCs w:val="24"/>
              </w:rPr>
              <w:t>29)</w:t>
            </w:r>
            <w:r>
              <w:rPr>
                <w:rFonts w:hint="eastAsia" w:ascii="宋体" w:hAnsi="宋体" w:eastAsia="宋体" w:cs="Times New Roman"/>
                <w:sz w:val="24"/>
                <w:szCs w:val="24"/>
              </w:rPr>
              <w:tab/>
            </w:r>
            <w:r>
              <w:rPr>
                <w:rFonts w:hint="eastAsia" w:ascii="宋体" w:hAnsi="宋体" w:eastAsia="宋体" w:cs="Times New Roman"/>
                <w:sz w:val="24"/>
                <w:szCs w:val="24"/>
              </w:rPr>
              <w:t>客户端、Web端、移动端支持自动诊断分析结论，可手动选择是否引用自动诊断结论。</w:t>
            </w:r>
          </w:p>
          <w:p w14:paraId="3BAAB7B2">
            <w:pPr>
              <w:rPr>
                <w:rFonts w:ascii="宋体" w:hAnsi="宋体" w:eastAsia="宋体" w:cs="Times New Roman"/>
                <w:sz w:val="24"/>
                <w:szCs w:val="24"/>
              </w:rPr>
            </w:pPr>
            <w:r>
              <w:rPr>
                <w:rFonts w:hint="eastAsia" w:ascii="宋体" w:hAnsi="宋体" w:eastAsia="宋体" w:cs="Times New Roman"/>
                <w:sz w:val="24"/>
                <w:szCs w:val="24"/>
              </w:rPr>
              <w:t>30)</w:t>
            </w:r>
            <w:r>
              <w:rPr>
                <w:rFonts w:hint="eastAsia" w:ascii="宋体" w:hAnsi="宋体" w:eastAsia="宋体" w:cs="Times New Roman"/>
                <w:sz w:val="24"/>
                <w:szCs w:val="24"/>
              </w:rPr>
              <w:tab/>
            </w:r>
            <w:r>
              <w:rPr>
                <w:rFonts w:hint="eastAsia" w:ascii="宋体" w:hAnsi="宋体" w:eastAsia="宋体" w:cs="Times New Roman"/>
                <w:sz w:val="24"/>
                <w:szCs w:val="24"/>
              </w:rPr>
              <w:t>支持在诊断界面将心电图原始数据生成二维码，并通过手机端微信小程序进行扫码查看、诊断和分享，通过手机扫码方式实现内网到外网的数据传输，物理隔离保障网络安全。【需提供软件界面截图证明】</w:t>
            </w:r>
          </w:p>
          <w:p w14:paraId="26F82515">
            <w:pPr>
              <w:rPr>
                <w:rFonts w:ascii="宋体" w:hAnsi="宋体" w:eastAsia="宋体" w:cs="Times New Roman"/>
                <w:sz w:val="24"/>
                <w:szCs w:val="24"/>
              </w:rPr>
            </w:pPr>
            <w:r>
              <w:rPr>
                <w:rFonts w:hint="eastAsia" w:ascii="宋体" w:hAnsi="宋体" w:eastAsia="宋体" w:cs="Times New Roman"/>
                <w:sz w:val="24"/>
                <w:szCs w:val="24"/>
              </w:rPr>
              <w:t>31)</w:t>
            </w:r>
            <w:r>
              <w:rPr>
                <w:rFonts w:hint="eastAsia" w:ascii="宋体" w:hAnsi="宋体" w:eastAsia="宋体" w:cs="Times New Roman"/>
                <w:sz w:val="24"/>
                <w:szCs w:val="24"/>
              </w:rPr>
              <w:tab/>
            </w:r>
            <w:r>
              <w:rPr>
                <w:rFonts w:hint="eastAsia" w:ascii="宋体" w:hAnsi="宋体" w:eastAsia="宋体" w:cs="Times New Roman"/>
                <w:sz w:val="24"/>
                <w:szCs w:val="24"/>
              </w:rPr>
              <w:t>为保护受检者信息安全，报告分享支持脱敏显示。</w:t>
            </w:r>
          </w:p>
          <w:p w14:paraId="76F57ABA">
            <w:pPr>
              <w:rPr>
                <w:rFonts w:ascii="宋体" w:hAnsi="宋体" w:eastAsia="宋体" w:cs="Times New Roman"/>
                <w:sz w:val="24"/>
                <w:szCs w:val="24"/>
              </w:rPr>
            </w:pPr>
            <w:r>
              <w:rPr>
                <w:rFonts w:hint="eastAsia" w:ascii="宋体" w:hAnsi="宋体" w:eastAsia="宋体" w:cs="Times New Roman"/>
                <w:sz w:val="24"/>
                <w:szCs w:val="24"/>
              </w:rPr>
              <w:t>32）支持修改系统名称及系统logo，实现个性化订制。</w:t>
            </w:r>
          </w:p>
          <w:p w14:paraId="013DAF9F">
            <w:pPr>
              <w:rPr>
                <w:rFonts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rPr>
              <w:tab/>
            </w:r>
            <w:r>
              <w:rPr>
                <w:rFonts w:hint="eastAsia" w:ascii="宋体" w:hAnsi="宋体" w:eastAsia="宋体" w:cs="Times New Roman"/>
                <w:sz w:val="24"/>
                <w:szCs w:val="24"/>
              </w:rPr>
              <w:t>移动会诊</w:t>
            </w:r>
          </w:p>
          <w:p w14:paraId="29F329FA">
            <w:pPr>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rPr>
              <w:tab/>
            </w:r>
            <w:r>
              <w:rPr>
                <w:rFonts w:hint="eastAsia" w:ascii="宋体" w:hAnsi="宋体" w:eastAsia="宋体" w:cs="Times New Roman"/>
                <w:sz w:val="24"/>
                <w:szCs w:val="24"/>
              </w:rPr>
              <w:t>移动会诊支持手机端H5、微信小程序等多种方式实现原始心电图数据的查看，支持Android和iOS系统等各种品牌终端，满足出差、居家等不同场景下的远程会诊需求。</w:t>
            </w:r>
          </w:p>
          <w:p w14:paraId="64AAC1F5">
            <w:pPr>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rPr>
              <w:tab/>
            </w:r>
            <w:r>
              <w:rPr>
                <w:rFonts w:hint="eastAsia" w:ascii="宋体" w:hAnsi="宋体" w:eastAsia="宋体" w:cs="Times New Roman"/>
                <w:sz w:val="24"/>
                <w:szCs w:val="24"/>
              </w:rPr>
              <w:t>手机端H5会诊功能，支持手机端报告任务列表刷新功能，可实时查看待处理报告的数量。支持报告编辑功能，提供标准的心电图诊断词条选择或者手动输入诊断词条，辅助医生快速的进行报告编辑。</w:t>
            </w:r>
          </w:p>
          <w:p w14:paraId="65CA135F">
            <w:pPr>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rPr>
              <w:tab/>
            </w:r>
            <w:r>
              <w:rPr>
                <w:rFonts w:hint="eastAsia" w:ascii="宋体" w:hAnsi="宋体" w:eastAsia="宋体" w:cs="Times New Roman"/>
                <w:sz w:val="24"/>
                <w:szCs w:val="24"/>
              </w:rPr>
              <w:t>支持手机端浏览器访问登录功能；支持记录最近一次登录用户。</w:t>
            </w:r>
          </w:p>
          <w:p w14:paraId="4952BDD5">
            <w:pPr>
              <w:rPr>
                <w:rFonts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rPr>
              <w:tab/>
            </w:r>
            <w:r>
              <w:rPr>
                <w:rFonts w:hint="eastAsia" w:ascii="宋体" w:hAnsi="宋体" w:eastAsia="宋体" w:cs="Times New Roman"/>
                <w:sz w:val="24"/>
                <w:szCs w:val="24"/>
              </w:rPr>
              <w:t>支持iPad端诊断，方便医生值班时使用。支持报告列表功能、支持多份心电图切换功能、支持报告编辑功能；支持通过扫描二维码的方式连接服务器地址，免去繁杂的网址输入过程，防止服务器地址外泄，提高系统安全性。</w:t>
            </w:r>
          </w:p>
          <w:p w14:paraId="25A11E73">
            <w:pPr>
              <w:rPr>
                <w:rFonts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rPr>
              <w:tab/>
            </w:r>
            <w:r>
              <w:rPr>
                <w:rFonts w:hint="eastAsia" w:ascii="宋体" w:hAnsi="宋体" w:eastAsia="宋体" w:cs="Times New Roman"/>
                <w:sz w:val="24"/>
                <w:szCs w:val="24"/>
              </w:rPr>
              <w:t xml:space="preserve">系统支持将心电数据通过网络分享到微信群或者专家的微信，寻求技术指导或典型数据分享。会诊专家可在微信端查看原始心电数据，支持走速、增益的调整，支持导联布局的切换，支持心电波形的滤波。 </w:t>
            </w:r>
          </w:p>
          <w:p w14:paraId="67221C10">
            <w:pPr>
              <w:rPr>
                <w:rFonts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eastAsia="宋体" w:cs="Times New Roman"/>
                <w:sz w:val="24"/>
                <w:szCs w:val="24"/>
              </w:rPr>
              <w:tab/>
            </w:r>
            <w:r>
              <w:rPr>
                <w:rFonts w:hint="eastAsia" w:ascii="宋体" w:hAnsi="宋体" w:eastAsia="宋体" w:cs="Times New Roman"/>
                <w:sz w:val="24"/>
                <w:szCs w:val="24"/>
              </w:rPr>
              <w:t>临床web端调阅</w:t>
            </w:r>
          </w:p>
          <w:p w14:paraId="4513B2D2">
            <w:pPr>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rPr>
              <w:tab/>
            </w:r>
            <w:r>
              <w:rPr>
                <w:rFonts w:hint="eastAsia" w:ascii="宋体" w:hAnsi="宋体" w:eastAsia="宋体" w:cs="Times New Roman"/>
                <w:sz w:val="24"/>
                <w:szCs w:val="24"/>
              </w:rPr>
              <w:t>支持在Web端查看、诊断、发布、审核心电图报告。满足不同场景的业务需求。</w:t>
            </w:r>
          </w:p>
          <w:p w14:paraId="3D8AD4A5">
            <w:pPr>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rPr>
              <w:tab/>
            </w:r>
            <w:r>
              <w:rPr>
                <w:rFonts w:hint="eastAsia" w:ascii="宋体" w:hAnsi="宋体" w:eastAsia="宋体" w:cs="Times New Roman"/>
                <w:sz w:val="24"/>
                <w:szCs w:val="24"/>
              </w:rPr>
              <w:t>支持根据报告完成状态待诊断、已诊断查看报告，并且直观看出待诊断的报告数量。</w:t>
            </w:r>
          </w:p>
          <w:p w14:paraId="27DD01BE">
            <w:pPr>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rPr>
              <w:tab/>
            </w:r>
            <w:r>
              <w:rPr>
                <w:rFonts w:hint="eastAsia" w:ascii="宋体" w:hAnsi="宋体" w:eastAsia="宋体" w:cs="Times New Roman"/>
                <w:sz w:val="24"/>
                <w:szCs w:val="24"/>
              </w:rPr>
              <w:t>支持通过检查科室、受检者来源、检查时间、受检者标识、受检者姓名快速检索报告。</w:t>
            </w:r>
          </w:p>
          <w:p w14:paraId="2464B985">
            <w:pPr>
              <w:rPr>
                <w:rFonts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rPr>
              <w:tab/>
            </w:r>
            <w:r>
              <w:rPr>
                <w:rFonts w:hint="eastAsia" w:ascii="宋体" w:hAnsi="宋体" w:eastAsia="宋体" w:cs="Times New Roman"/>
                <w:sz w:val="24"/>
                <w:szCs w:val="24"/>
              </w:rPr>
              <w:t>支持快速诊断模式。</w:t>
            </w:r>
          </w:p>
          <w:p w14:paraId="0322A8EB">
            <w:pPr>
              <w:rPr>
                <w:rFonts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rPr>
              <w:tab/>
            </w:r>
            <w:r>
              <w:rPr>
                <w:rFonts w:hint="eastAsia" w:ascii="宋体" w:hAnsi="宋体" w:eastAsia="宋体" w:cs="Times New Roman"/>
                <w:sz w:val="24"/>
                <w:szCs w:val="24"/>
              </w:rPr>
              <w:t>支持产生新报告到达即时提醒功能。当检查端采集的病历发送过来时，web端自动弹出提示窗口并语音提醒，提示医生有新报告到达。</w:t>
            </w:r>
          </w:p>
          <w:p w14:paraId="644D38E6">
            <w:pPr>
              <w:rPr>
                <w:rFonts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eastAsia="宋体" w:cs="Times New Roman"/>
                <w:sz w:val="24"/>
                <w:szCs w:val="24"/>
              </w:rPr>
              <w:tab/>
            </w:r>
            <w:r>
              <w:rPr>
                <w:rFonts w:hint="eastAsia" w:ascii="宋体" w:hAnsi="宋体" w:eastAsia="宋体" w:cs="Times New Roman"/>
                <w:sz w:val="24"/>
                <w:szCs w:val="24"/>
              </w:rPr>
              <w:t>Web终端可查看原始数据，支持调整导联布局、增益、走速及；支持心电波形的滤波，包括肌电滤波、工频滤波、高频滤波；提供标准的心电图诊断词条选择或者手动输入；支持修改受检者部分信息；支持全院数据共享。</w:t>
            </w:r>
          </w:p>
          <w:p w14:paraId="2052ABFB">
            <w:pPr>
              <w:rPr>
                <w:rFonts w:ascii="宋体" w:hAnsi="宋体" w:eastAsia="宋体" w:cs="Times New Roman"/>
                <w:sz w:val="24"/>
                <w:szCs w:val="24"/>
              </w:rPr>
            </w:pPr>
            <w:r>
              <w:rPr>
                <w:rFonts w:hint="eastAsia" w:ascii="宋体" w:hAnsi="宋体" w:eastAsia="宋体" w:cs="Times New Roman"/>
                <w:sz w:val="24"/>
                <w:szCs w:val="24"/>
              </w:rPr>
              <w:t>7.</w:t>
            </w:r>
            <w:r>
              <w:rPr>
                <w:rFonts w:hint="eastAsia" w:ascii="宋体" w:hAnsi="宋体" w:eastAsia="宋体" w:cs="Times New Roman"/>
                <w:sz w:val="24"/>
                <w:szCs w:val="24"/>
              </w:rPr>
              <w:tab/>
            </w:r>
            <w:r>
              <w:rPr>
                <w:rFonts w:hint="eastAsia" w:ascii="宋体" w:hAnsi="宋体" w:eastAsia="宋体" w:cs="Times New Roman"/>
                <w:sz w:val="24"/>
                <w:szCs w:val="24"/>
              </w:rPr>
              <w:t>数据统计与质控管理</w:t>
            </w:r>
          </w:p>
          <w:p w14:paraId="452F8D71">
            <w:pPr>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rPr>
              <w:tab/>
            </w:r>
            <w:r>
              <w:rPr>
                <w:rFonts w:hint="eastAsia" w:ascii="宋体" w:hAnsi="宋体" w:eastAsia="宋体" w:cs="Times New Roman"/>
                <w:sz w:val="24"/>
                <w:szCs w:val="24"/>
              </w:rPr>
              <w:t>利用大数据可视化系统，通过对医院心电检查、诊断、资源分布等数据的分析挖掘，为院内的业务开展和资源分配提供数据支撑。</w:t>
            </w:r>
          </w:p>
          <w:p w14:paraId="1D937CCF">
            <w:pPr>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rPr>
              <w:tab/>
            </w:r>
            <w:r>
              <w:rPr>
                <w:rFonts w:hint="eastAsia" w:ascii="宋体" w:hAnsi="宋体" w:eastAsia="宋体" w:cs="Times New Roman"/>
                <w:sz w:val="24"/>
                <w:szCs w:val="24"/>
              </w:rPr>
              <w:t>统计分析：实现管理部门对病种、医生、检查报告的统计分析。</w:t>
            </w:r>
          </w:p>
          <w:p w14:paraId="73CD5826">
            <w:pPr>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rPr>
              <w:tab/>
            </w:r>
            <w:r>
              <w:rPr>
                <w:rFonts w:hint="eastAsia" w:ascii="宋体" w:hAnsi="宋体" w:eastAsia="宋体" w:cs="Times New Roman"/>
                <w:sz w:val="24"/>
                <w:szCs w:val="24"/>
              </w:rPr>
              <w:t>支持根据机构、诊断中心查看报告检查量、诊断量。</w:t>
            </w:r>
          </w:p>
          <w:p w14:paraId="47E8296B">
            <w:pPr>
              <w:rPr>
                <w:rFonts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rPr>
              <w:tab/>
            </w:r>
            <w:r>
              <w:rPr>
                <w:rFonts w:hint="eastAsia" w:ascii="宋体" w:hAnsi="宋体" w:eastAsia="宋体" w:cs="Times New Roman"/>
                <w:sz w:val="24"/>
                <w:szCs w:val="24"/>
              </w:rPr>
              <w:t>支持诊断来源分布统计。</w:t>
            </w:r>
          </w:p>
          <w:p w14:paraId="09DC89F8">
            <w:pPr>
              <w:rPr>
                <w:rFonts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rPr>
              <w:tab/>
            </w:r>
            <w:r>
              <w:rPr>
                <w:rFonts w:hint="eastAsia" w:ascii="宋体" w:hAnsi="宋体" w:eastAsia="宋体" w:cs="Times New Roman"/>
                <w:sz w:val="24"/>
                <w:szCs w:val="24"/>
              </w:rPr>
              <w:t>支持危急值统计分析，支持列表和柱状图展示。</w:t>
            </w:r>
          </w:p>
          <w:p w14:paraId="32DF30BD">
            <w:pPr>
              <w:rPr>
                <w:rFonts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eastAsia="宋体" w:cs="Times New Roman"/>
                <w:sz w:val="24"/>
                <w:szCs w:val="24"/>
              </w:rPr>
              <w:tab/>
            </w:r>
            <w:r>
              <w:rPr>
                <w:rFonts w:hint="eastAsia" w:ascii="宋体" w:hAnsi="宋体" w:eastAsia="宋体" w:cs="Times New Roman"/>
                <w:sz w:val="24"/>
                <w:szCs w:val="24"/>
              </w:rPr>
              <w:t>支持通过心电人工智能进行质控分析，评估诊断医生和诊断组的诊断质量，进一步明确后续的培训方向和提高培训效果。【提供心电人工智能质控界面截图证明】</w:t>
            </w:r>
          </w:p>
          <w:p w14:paraId="491B487E">
            <w:pPr>
              <w:rPr>
                <w:rFonts w:ascii="宋体" w:hAnsi="宋体" w:eastAsia="宋体" w:cs="Times New Roman"/>
                <w:sz w:val="24"/>
                <w:szCs w:val="24"/>
              </w:rPr>
            </w:pPr>
            <w:r>
              <w:rPr>
                <w:rFonts w:hint="eastAsia" w:ascii="宋体" w:hAnsi="宋体" w:eastAsia="宋体" w:cs="Times New Roman"/>
                <w:sz w:val="24"/>
                <w:szCs w:val="24"/>
              </w:rPr>
              <w:t>8.</w:t>
            </w:r>
            <w:r>
              <w:rPr>
                <w:rFonts w:hint="eastAsia" w:ascii="宋体" w:hAnsi="宋体" w:eastAsia="宋体" w:cs="Times New Roman"/>
                <w:sz w:val="24"/>
                <w:szCs w:val="24"/>
              </w:rPr>
              <w:tab/>
            </w:r>
            <w:r>
              <w:rPr>
                <w:rFonts w:hint="eastAsia" w:ascii="宋体" w:hAnsi="宋体" w:eastAsia="宋体" w:cs="Times New Roman"/>
                <w:sz w:val="24"/>
                <w:szCs w:val="24"/>
              </w:rPr>
              <w:t>基础数据管理</w:t>
            </w:r>
          </w:p>
          <w:p w14:paraId="783F4F7E">
            <w:pPr>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rPr>
              <w:tab/>
            </w:r>
            <w:r>
              <w:rPr>
                <w:rFonts w:hint="eastAsia" w:ascii="宋体" w:hAnsi="宋体" w:eastAsia="宋体" w:cs="Times New Roman"/>
                <w:sz w:val="24"/>
                <w:szCs w:val="24"/>
              </w:rPr>
              <w:t>要求系统具有完整的分级权限管理系统，可针对不同人员授予不同的权限，使用者只能做已授权的操作。</w:t>
            </w:r>
          </w:p>
          <w:p w14:paraId="10C167DC">
            <w:pPr>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rPr>
              <w:tab/>
            </w:r>
            <w:r>
              <w:rPr>
                <w:rFonts w:hint="eastAsia" w:ascii="宋体" w:hAnsi="宋体" w:eastAsia="宋体" w:cs="Times New Roman"/>
                <w:sz w:val="24"/>
                <w:szCs w:val="24"/>
              </w:rPr>
              <w:t>支持对科室部门进行统一管理，并提供了添加科室部门、修改科室部门、删除科室部门、查询科室部门的功能。</w:t>
            </w:r>
          </w:p>
          <w:p w14:paraId="3AF0F9C5">
            <w:pPr>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rPr>
              <w:tab/>
            </w:r>
            <w:r>
              <w:rPr>
                <w:rFonts w:hint="eastAsia" w:ascii="宋体" w:hAnsi="宋体" w:eastAsia="宋体" w:cs="Times New Roman"/>
                <w:sz w:val="24"/>
                <w:szCs w:val="24"/>
              </w:rPr>
              <w:t>支持诊断分组功能，包括新增、修改、删除；支持诊断分组关联医护。</w:t>
            </w:r>
          </w:p>
          <w:p w14:paraId="107EDC64">
            <w:pPr>
              <w:rPr>
                <w:rFonts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rPr>
              <w:tab/>
            </w:r>
            <w:r>
              <w:rPr>
                <w:rFonts w:hint="eastAsia" w:ascii="宋体" w:hAnsi="宋体" w:eastAsia="宋体" w:cs="Times New Roman"/>
                <w:sz w:val="24"/>
                <w:szCs w:val="24"/>
              </w:rPr>
              <w:t>支持诊断分组配置诊断调度规则。</w:t>
            </w:r>
          </w:p>
          <w:p w14:paraId="0240552B">
            <w:pPr>
              <w:rPr>
                <w:rFonts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rPr>
              <w:tab/>
            </w:r>
            <w:r>
              <w:rPr>
                <w:rFonts w:hint="eastAsia" w:ascii="宋体" w:hAnsi="宋体" w:eastAsia="宋体" w:cs="Times New Roman"/>
                <w:sz w:val="24"/>
                <w:szCs w:val="24"/>
              </w:rPr>
              <w:t>支持通过数据字典对系统内容进行维护。</w:t>
            </w:r>
          </w:p>
          <w:p w14:paraId="79B2FCBD">
            <w:pPr>
              <w:rPr>
                <w:rFonts w:ascii="宋体" w:hAnsi="宋体" w:eastAsia="宋体" w:cs="Times New Roman"/>
                <w:sz w:val="24"/>
                <w:szCs w:val="24"/>
              </w:rPr>
            </w:pPr>
            <w:r>
              <w:rPr>
                <w:rFonts w:hint="eastAsia" w:ascii="宋体" w:hAnsi="宋体" w:eastAsia="宋体" w:cs="Times New Roman"/>
                <w:sz w:val="24"/>
                <w:szCs w:val="24"/>
              </w:rPr>
              <w:t>9.</w:t>
            </w:r>
            <w:r>
              <w:rPr>
                <w:rFonts w:hint="eastAsia" w:ascii="宋体" w:hAnsi="宋体" w:eastAsia="宋体" w:cs="Times New Roman"/>
                <w:sz w:val="24"/>
                <w:szCs w:val="24"/>
              </w:rPr>
              <w:tab/>
            </w:r>
            <w:r>
              <w:rPr>
                <w:rFonts w:hint="eastAsia" w:ascii="宋体" w:hAnsi="宋体" w:eastAsia="宋体" w:cs="Times New Roman"/>
                <w:sz w:val="24"/>
                <w:szCs w:val="24"/>
              </w:rPr>
              <w:t>系统集成</w:t>
            </w:r>
          </w:p>
          <w:p w14:paraId="57736DBD">
            <w:pPr>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rPr>
              <w:tab/>
            </w:r>
            <w:r>
              <w:rPr>
                <w:rFonts w:hint="eastAsia" w:ascii="宋体" w:hAnsi="宋体" w:eastAsia="宋体" w:cs="Times New Roman"/>
                <w:sz w:val="24"/>
                <w:szCs w:val="24"/>
              </w:rPr>
              <w:t>支持与医院第三方信息系统(HIS、电子病历)心电图相关的信息(检查申请单、检查状态回写、报告状态回写、结论回写)交互。</w:t>
            </w:r>
          </w:p>
          <w:p w14:paraId="4418359A">
            <w:pPr>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rPr>
              <w:tab/>
            </w:r>
            <w:r>
              <w:rPr>
                <w:rFonts w:hint="eastAsia" w:ascii="宋体" w:hAnsi="宋体" w:eastAsia="宋体" w:cs="Times New Roman"/>
                <w:sz w:val="24"/>
                <w:szCs w:val="24"/>
              </w:rPr>
              <w:t>支持第三方系统调阅心电图报告，可浏览并打印心电图报告。</w:t>
            </w:r>
          </w:p>
          <w:p w14:paraId="018E2D1A">
            <w:pPr>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rPr>
              <w:tab/>
            </w:r>
            <w:r>
              <w:rPr>
                <w:rFonts w:hint="eastAsia" w:ascii="宋体" w:hAnsi="宋体" w:eastAsia="宋体" w:cs="Times New Roman"/>
                <w:sz w:val="24"/>
                <w:szCs w:val="24"/>
              </w:rPr>
              <w:t>满足电子病历评级4级</w:t>
            </w:r>
            <w:r>
              <w:rPr>
                <w:rFonts w:hint="eastAsia" w:ascii="黑体" w:hAnsi="黑体" w:eastAsia="黑体" w:cs="Times New Roman"/>
                <w:sz w:val="24"/>
                <w:szCs w:val="24"/>
              </w:rPr>
              <w:t>、</w:t>
            </w:r>
            <w:r>
              <w:rPr>
                <w:rFonts w:hint="eastAsia" w:ascii="宋体" w:hAnsi="宋体" w:eastAsia="宋体" w:cs="Times New Roman"/>
                <w:sz w:val="24"/>
                <w:szCs w:val="24"/>
              </w:rPr>
              <w:t>5级功能要求</w:t>
            </w:r>
          </w:p>
          <w:p w14:paraId="5F523650">
            <w:pPr>
              <w:rPr>
                <w:rFonts w:ascii="宋体" w:hAnsi="宋体" w:eastAsia="宋体" w:cs="Times New Roman"/>
                <w:sz w:val="24"/>
                <w:szCs w:val="24"/>
              </w:rPr>
            </w:pPr>
            <w:r>
              <w:rPr>
                <w:rFonts w:hint="eastAsia" w:ascii="宋体" w:hAnsi="宋体" w:eastAsia="宋体" w:cs="Times New Roman"/>
                <w:sz w:val="24"/>
                <w:szCs w:val="24"/>
              </w:rPr>
              <w:t>4）满足互联互通四级功能要求</w:t>
            </w:r>
          </w:p>
          <w:p w14:paraId="3F415205">
            <w:pPr>
              <w:rPr>
                <w:rFonts w:ascii="宋体" w:hAnsi="宋体" w:eastAsia="宋体" w:cs="Times New Roman"/>
                <w:sz w:val="24"/>
                <w:szCs w:val="24"/>
              </w:rPr>
            </w:pPr>
            <w:r>
              <w:rPr>
                <w:rFonts w:hint="eastAsia" w:ascii="宋体" w:hAnsi="宋体" w:eastAsia="宋体" w:cs="Times New Roman"/>
                <w:sz w:val="24"/>
                <w:szCs w:val="24"/>
              </w:rPr>
              <w:t>10.</w:t>
            </w:r>
            <w:r>
              <w:rPr>
                <w:rFonts w:hint="eastAsia" w:ascii="宋体" w:hAnsi="宋体" w:eastAsia="宋体" w:cs="Times New Roman"/>
                <w:sz w:val="24"/>
                <w:szCs w:val="24"/>
              </w:rPr>
              <w:tab/>
            </w:r>
            <w:r>
              <w:rPr>
                <w:rFonts w:hint="eastAsia" w:ascii="宋体" w:hAnsi="宋体" w:eastAsia="宋体" w:cs="Times New Roman"/>
                <w:sz w:val="24"/>
                <w:szCs w:val="24"/>
              </w:rPr>
              <w:t>网络安全</w:t>
            </w:r>
          </w:p>
          <w:p w14:paraId="047C478A">
            <w:pPr>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rPr>
              <w:tab/>
            </w:r>
            <w:r>
              <w:rPr>
                <w:rFonts w:hint="eastAsia" w:ascii="宋体" w:hAnsi="宋体" w:eastAsia="宋体" w:cs="Times New Roman"/>
                <w:sz w:val="24"/>
                <w:szCs w:val="24"/>
              </w:rPr>
              <w:t>系统具备应对登录的用户进行身份标识和鉴别，身份标识具有唯一性，身份鉴别信息具有复杂度要求并支持定期更换；提供密码强度提示及强度设置要求校验，提供密码定期更换周期设置。</w:t>
            </w:r>
          </w:p>
          <w:p w14:paraId="7A2971E5">
            <w:pPr>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rPr>
              <w:tab/>
            </w:r>
            <w:r>
              <w:rPr>
                <w:rFonts w:hint="eastAsia" w:ascii="宋体" w:hAnsi="宋体" w:eastAsia="宋体" w:cs="Times New Roman"/>
                <w:sz w:val="24"/>
                <w:szCs w:val="24"/>
              </w:rPr>
              <w:t>具有首次登录更换密码设置，支持强制要求首次登录更换密码设置。</w:t>
            </w:r>
          </w:p>
          <w:p w14:paraId="60386567">
            <w:pPr>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rPr>
              <w:tab/>
            </w:r>
            <w:r>
              <w:rPr>
                <w:rFonts w:hint="eastAsia" w:ascii="宋体" w:hAnsi="宋体" w:eastAsia="宋体" w:cs="Times New Roman"/>
                <w:sz w:val="24"/>
                <w:szCs w:val="24"/>
              </w:rPr>
              <w:t xml:space="preserve">具有登录失败处理功能，配置并启用结束会话、限制非法登录次数和当登录连接超时自动退出等相关措施； </w:t>
            </w:r>
          </w:p>
          <w:p w14:paraId="5342A515">
            <w:pPr>
              <w:rPr>
                <w:rFonts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rPr>
              <w:tab/>
            </w:r>
            <w:r>
              <w:rPr>
                <w:rFonts w:hint="eastAsia" w:ascii="宋体" w:hAnsi="宋体" w:eastAsia="宋体" w:cs="Times New Roman"/>
                <w:sz w:val="24"/>
                <w:szCs w:val="24"/>
              </w:rPr>
              <w:t>支持日志审计功能，具有操作记录日志。</w:t>
            </w:r>
          </w:p>
          <w:p w14:paraId="4B927835">
            <w:pPr>
              <w:rPr>
                <w:rFonts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rPr>
              <w:tab/>
            </w:r>
            <w:r>
              <w:rPr>
                <w:rFonts w:hint="eastAsia" w:ascii="宋体" w:hAnsi="宋体" w:eastAsia="宋体" w:cs="Times New Roman"/>
                <w:sz w:val="24"/>
                <w:szCs w:val="24"/>
              </w:rPr>
              <w:t>支持日志管理功能。</w:t>
            </w:r>
          </w:p>
          <w:p w14:paraId="7A43965A">
            <w:pPr>
              <w:rPr>
                <w:rFonts w:ascii="宋体" w:hAnsi="宋体" w:eastAsia="宋体" w:cs="Times New Roman"/>
                <w:sz w:val="24"/>
                <w:szCs w:val="24"/>
              </w:rPr>
            </w:pPr>
            <w:r>
              <w:rPr>
                <w:rFonts w:hint="eastAsia" w:ascii="宋体" w:hAnsi="宋体" w:eastAsia="宋体" w:cs="Times New Roman"/>
                <w:sz w:val="24"/>
                <w:szCs w:val="24"/>
              </w:rPr>
              <w:t>11.心电图仪</w:t>
            </w:r>
          </w:p>
          <w:p w14:paraId="599ABDE7">
            <w:pPr>
              <w:rPr>
                <w:rFonts w:ascii="宋体" w:hAnsi="宋体" w:eastAsia="宋体" w:cs="Times New Roman"/>
                <w:sz w:val="24"/>
                <w:szCs w:val="24"/>
              </w:rPr>
            </w:pPr>
            <w:r>
              <w:rPr>
                <w:rFonts w:hint="eastAsia" w:ascii="宋体" w:hAnsi="宋体" w:eastAsia="宋体" w:cs="Times New Roman"/>
                <w:sz w:val="24"/>
                <w:szCs w:val="24"/>
              </w:rPr>
              <w:t>1）支持12导心电图采集</w:t>
            </w:r>
          </w:p>
          <w:p w14:paraId="0CD65E65">
            <w:pPr>
              <w:rPr>
                <w:rFonts w:ascii="宋体" w:hAnsi="宋体" w:eastAsia="宋体" w:cs="Times New Roman"/>
                <w:sz w:val="24"/>
                <w:szCs w:val="24"/>
              </w:rPr>
            </w:pPr>
            <w:r>
              <w:rPr>
                <w:rFonts w:hint="eastAsia" w:ascii="宋体" w:hAnsi="宋体" w:eastAsia="宋体" w:cs="Times New Roman"/>
                <w:sz w:val="24"/>
                <w:szCs w:val="24"/>
              </w:rPr>
              <w:t>2）输入阻抗：≥10.0MΩ</w:t>
            </w:r>
          </w:p>
          <w:p w14:paraId="00F11ADC">
            <w:pPr>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rPr>
              <w:tab/>
            </w:r>
            <w:r>
              <w:rPr>
                <w:rFonts w:hint="eastAsia" w:ascii="宋体" w:hAnsi="宋体" w:eastAsia="宋体" w:cs="Times New Roman"/>
                <w:sz w:val="24"/>
                <w:szCs w:val="24"/>
              </w:rPr>
              <w:t xml:space="preserve">共模抑制比≥89dB </w:t>
            </w:r>
          </w:p>
          <w:p w14:paraId="70B4CA1B">
            <w:pPr>
              <w:rPr>
                <w:rFonts w:ascii="宋体" w:hAnsi="宋体" w:eastAsia="宋体" w:cs="Times New Roman"/>
                <w:sz w:val="24"/>
                <w:szCs w:val="24"/>
              </w:rPr>
            </w:pPr>
            <w:r>
              <w:rPr>
                <w:rFonts w:hint="eastAsia" w:ascii="宋体" w:hAnsi="宋体" w:eastAsia="宋体" w:cs="Times New Roman"/>
                <w:sz w:val="24"/>
                <w:szCs w:val="24"/>
              </w:rPr>
              <w:t>4）耐极化电压：±600mV</w:t>
            </w:r>
          </w:p>
          <w:p w14:paraId="3481B9E8">
            <w:pPr>
              <w:rPr>
                <w:rFonts w:ascii="宋体" w:hAnsi="宋体" w:eastAsia="宋体" w:cs="Times New Roman"/>
                <w:sz w:val="24"/>
                <w:szCs w:val="24"/>
              </w:rPr>
            </w:pPr>
            <w:r>
              <w:rPr>
                <w:rFonts w:hint="eastAsia" w:ascii="宋体" w:hAnsi="宋体" w:eastAsia="宋体" w:cs="Times New Roman"/>
                <w:sz w:val="24"/>
                <w:szCs w:val="24"/>
              </w:rPr>
              <w:t>5）频响范围：0.05-249Hz全频滤波</w:t>
            </w:r>
          </w:p>
          <w:p w14:paraId="5188C55E">
            <w:pPr>
              <w:rPr>
                <w:rFonts w:ascii="宋体" w:hAnsi="宋体" w:eastAsia="宋体" w:cs="Times New Roman"/>
                <w:sz w:val="24"/>
                <w:szCs w:val="24"/>
              </w:rPr>
            </w:pPr>
            <w:r>
              <w:rPr>
                <w:rFonts w:hint="eastAsia" w:ascii="宋体" w:hAnsi="宋体" w:eastAsia="宋体" w:cs="Times New Roman"/>
                <w:sz w:val="24"/>
                <w:szCs w:val="24"/>
              </w:rPr>
              <w:t>6）支持新建检查时选择加急心电图检查；</w:t>
            </w:r>
          </w:p>
          <w:p w14:paraId="420D4F37">
            <w:pPr>
              <w:rPr>
                <w:rFonts w:ascii="宋体" w:hAnsi="宋体" w:eastAsia="宋体" w:cs="Times New Roman"/>
                <w:sz w:val="24"/>
                <w:szCs w:val="24"/>
              </w:rPr>
            </w:pPr>
            <w:r>
              <w:rPr>
                <w:rFonts w:hint="eastAsia" w:ascii="宋体" w:hAnsi="宋体" w:eastAsia="宋体" w:cs="Times New Roman"/>
                <w:sz w:val="24"/>
                <w:szCs w:val="24"/>
              </w:rPr>
              <w:t>7）支持患者隐私模式；【提供软件界面截图】</w:t>
            </w:r>
          </w:p>
          <w:p w14:paraId="32188BF3">
            <w:pPr>
              <w:rPr>
                <w:rFonts w:ascii="宋体" w:hAnsi="宋体" w:eastAsia="宋体" w:cs="Times New Roman"/>
                <w:sz w:val="24"/>
                <w:szCs w:val="24"/>
              </w:rPr>
            </w:pPr>
            <w:r>
              <w:rPr>
                <w:rFonts w:hint="eastAsia" w:ascii="宋体" w:hAnsi="宋体" w:eastAsia="宋体" w:cs="Times New Roman"/>
                <w:sz w:val="24"/>
                <w:szCs w:val="24"/>
              </w:rPr>
              <w:t>8）</w:t>
            </w:r>
            <w:r>
              <w:rPr>
                <w:rFonts w:hint="eastAsia" w:ascii="宋体" w:hAnsi="宋体" w:eastAsia="宋体" w:cs="Times New Roman"/>
                <w:sz w:val="24"/>
                <w:szCs w:val="24"/>
              </w:rPr>
              <w:tab/>
            </w:r>
            <w:r>
              <w:rPr>
                <w:rFonts w:hint="eastAsia" w:ascii="宋体" w:hAnsi="宋体" w:eastAsia="宋体" w:cs="Times New Roman"/>
                <w:sz w:val="24"/>
                <w:szCs w:val="24"/>
              </w:rPr>
              <w:t>支持导联连接示意图；</w:t>
            </w:r>
          </w:p>
          <w:p w14:paraId="16A5C6A5">
            <w:pPr>
              <w:rPr>
                <w:rFonts w:ascii="宋体" w:hAnsi="宋体" w:eastAsia="宋体" w:cs="Times New Roman"/>
                <w:sz w:val="24"/>
                <w:szCs w:val="24"/>
              </w:rPr>
            </w:pPr>
            <w:r>
              <w:rPr>
                <w:rFonts w:hint="eastAsia" w:ascii="宋体" w:hAnsi="宋体" w:eastAsia="宋体" w:cs="Times New Roman"/>
                <w:sz w:val="24"/>
                <w:szCs w:val="24"/>
              </w:rPr>
              <w:t>9）支持起搏信号检测和提醒；</w:t>
            </w:r>
          </w:p>
          <w:p w14:paraId="6043731B">
            <w:pPr>
              <w:rPr>
                <w:rFonts w:ascii="宋体" w:hAnsi="宋体" w:eastAsia="宋体" w:cs="Times New Roman"/>
                <w:sz w:val="24"/>
                <w:szCs w:val="24"/>
              </w:rPr>
            </w:pPr>
            <w:r>
              <w:rPr>
                <w:rFonts w:hint="eastAsia" w:ascii="宋体" w:hAnsi="宋体" w:eastAsia="宋体" w:cs="Times New Roman"/>
                <w:sz w:val="24"/>
                <w:szCs w:val="24"/>
              </w:rPr>
              <w:t>10）支持导联脱落检测和提醒；</w:t>
            </w:r>
          </w:p>
          <w:p w14:paraId="5E7EF71A">
            <w:pPr>
              <w:rPr>
                <w:rFonts w:ascii="宋体" w:hAnsi="宋体" w:eastAsia="宋体" w:cs="Times New Roman"/>
                <w:sz w:val="24"/>
                <w:szCs w:val="24"/>
              </w:rPr>
            </w:pPr>
            <w:r>
              <w:rPr>
                <w:rFonts w:hint="eastAsia" w:ascii="宋体" w:hAnsi="宋体" w:eastAsia="宋体" w:cs="Times New Roman"/>
                <w:sz w:val="24"/>
                <w:szCs w:val="24"/>
              </w:rPr>
              <w:t>11）支持伪差心电图提醒；</w:t>
            </w:r>
          </w:p>
          <w:p w14:paraId="03D8030C">
            <w:pPr>
              <w:rPr>
                <w:rFonts w:ascii="宋体" w:hAnsi="宋体" w:eastAsia="宋体" w:cs="Times New Roman"/>
                <w:sz w:val="24"/>
                <w:szCs w:val="24"/>
              </w:rPr>
            </w:pPr>
            <w:r>
              <w:rPr>
                <w:rFonts w:hint="eastAsia" w:ascii="宋体" w:hAnsi="宋体" w:eastAsia="宋体" w:cs="Times New Roman"/>
                <w:sz w:val="24"/>
                <w:szCs w:val="24"/>
              </w:rPr>
              <w:t>12）支持左右手接反提醒；</w:t>
            </w:r>
          </w:p>
          <w:p w14:paraId="7717E60E">
            <w:pPr>
              <w:rPr>
                <w:rFonts w:ascii="宋体" w:hAnsi="宋体" w:eastAsia="宋体" w:cs="Times New Roman"/>
                <w:sz w:val="24"/>
                <w:szCs w:val="24"/>
              </w:rPr>
            </w:pPr>
            <w:r>
              <w:rPr>
                <w:rFonts w:hint="eastAsia" w:ascii="宋体" w:hAnsi="宋体" w:eastAsia="宋体" w:cs="Times New Roman"/>
                <w:sz w:val="24"/>
                <w:szCs w:val="24"/>
              </w:rPr>
              <w:t>13）支持识别特定类型病人并提醒采集人员补充完善临床信息，如患者是否佩戴了起搏器，从源头上规避影响诊断的重采问题。【提供软件界面截图】</w:t>
            </w:r>
          </w:p>
          <w:p w14:paraId="350A5F70">
            <w:pPr>
              <w:rPr>
                <w:rFonts w:ascii="宋体" w:hAnsi="宋体" w:eastAsia="宋体" w:cs="Times New Roman"/>
                <w:sz w:val="24"/>
                <w:szCs w:val="24"/>
              </w:rPr>
            </w:pPr>
            <w:r>
              <w:rPr>
                <w:rFonts w:hint="eastAsia" w:ascii="宋体" w:hAnsi="宋体" w:eastAsia="宋体" w:cs="Times New Roman"/>
                <w:sz w:val="24"/>
                <w:szCs w:val="24"/>
              </w:rPr>
              <w:t>14）设备属于CF型防除颤类型，提供设备铭牌图片证明，具有CF型防除颤图标。</w:t>
            </w:r>
          </w:p>
          <w:p w14:paraId="4C4F200F">
            <w:pPr>
              <w:rPr>
                <w:rFonts w:ascii="宋体" w:hAnsi="宋体" w:eastAsia="宋体" w:cs="Times New Roman"/>
                <w:sz w:val="24"/>
                <w:szCs w:val="24"/>
              </w:rPr>
            </w:pPr>
            <w:r>
              <w:rPr>
                <w:rFonts w:hint="eastAsia" w:ascii="宋体" w:hAnsi="宋体" w:eastAsia="宋体" w:cs="Times New Roman"/>
                <w:sz w:val="24"/>
                <w:szCs w:val="24"/>
              </w:rPr>
              <w:t>15）具有采集前五秒的数据回顾功能，方便捕捉偶发心率失常数据</w:t>
            </w:r>
          </w:p>
          <w:p w14:paraId="247B6D86">
            <w:pPr>
              <w:rPr>
                <w:rFonts w:ascii="宋体" w:hAnsi="宋体" w:eastAsia="宋体" w:cs="Times New Roman"/>
                <w:sz w:val="24"/>
                <w:szCs w:val="24"/>
              </w:rPr>
            </w:pPr>
            <w:r>
              <w:rPr>
                <w:rFonts w:hint="eastAsia" w:ascii="宋体" w:hAnsi="宋体" w:eastAsia="宋体" w:cs="Times New Roman"/>
                <w:sz w:val="24"/>
                <w:szCs w:val="24"/>
              </w:rPr>
              <w:t>16）支持外接A4打印，支持常规10s、节律60s心电图自动打印；具备在无网格纸上打印网格功能；支持横板或竖版打印模板；</w:t>
            </w:r>
          </w:p>
          <w:p w14:paraId="7B41DF43">
            <w:pPr>
              <w:rPr>
                <w:rFonts w:ascii="宋体" w:hAnsi="宋体" w:eastAsia="宋体" w:cs="Times New Roman"/>
                <w:sz w:val="24"/>
                <w:szCs w:val="24"/>
              </w:rPr>
            </w:pPr>
          </w:p>
        </w:tc>
        <w:tc>
          <w:tcPr>
            <w:tcW w:w="276" w:type="pct"/>
            <w:vAlign w:val="center"/>
          </w:tcPr>
          <w:p w14:paraId="36DE2ACC">
            <w:pPr>
              <w:rPr>
                <w:rFonts w:ascii="宋体" w:hAnsi="宋体" w:eastAsia="宋体" w:cs="Times New Roman"/>
                <w:sz w:val="24"/>
                <w:szCs w:val="24"/>
              </w:rPr>
            </w:pPr>
            <w:r>
              <w:rPr>
                <w:rFonts w:hint="eastAsia" w:ascii="宋体" w:hAnsi="宋体" w:eastAsia="宋体" w:cs="Times New Roman"/>
                <w:sz w:val="24"/>
                <w:szCs w:val="24"/>
              </w:rPr>
              <w:t>套</w:t>
            </w:r>
          </w:p>
        </w:tc>
        <w:tc>
          <w:tcPr>
            <w:tcW w:w="158" w:type="pct"/>
            <w:vAlign w:val="center"/>
          </w:tcPr>
          <w:p w14:paraId="533E9EF8">
            <w:pPr>
              <w:rPr>
                <w:rFonts w:ascii="宋体" w:hAnsi="宋体" w:eastAsia="宋体" w:cs="Times New Roman"/>
                <w:sz w:val="24"/>
                <w:szCs w:val="24"/>
              </w:rPr>
            </w:pPr>
            <w:r>
              <w:rPr>
                <w:rFonts w:hint="eastAsia" w:ascii="宋体" w:hAnsi="宋体" w:eastAsia="宋体" w:cs="Times New Roman"/>
                <w:sz w:val="24"/>
                <w:szCs w:val="24"/>
              </w:rPr>
              <w:t>1</w:t>
            </w:r>
          </w:p>
        </w:tc>
        <w:tc>
          <w:tcPr>
            <w:tcW w:w="780" w:type="pct"/>
            <w:vAlign w:val="center"/>
          </w:tcPr>
          <w:p w14:paraId="598F7A59">
            <w:pPr>
              <w:jc w:val="center"/>
              <w:rPr>
                <w:rFonts w:ascii="宋体" w:hAnsi="宋体" w:eastAsia="宋体" w:cs="Times New Roman"/>
                <w:sz w:val="24"/>
                <w:szCs w:val="24"/>
              </w:rPr>
            </w:pPr>
            <w:r>
              <w:rPr>
                <w:rFonts w:hint="eastAsia" w:ascii="宋体" w:hAnsi="宋体" w:eastAsia="宋体" w:cs="Times New Roman"/>
                <w:sz w:val="24"/>
                <w:szCs w:val="24"/>
              </w:rPr>
              <w:t>否</w:t>
            </w:r>
          </w:p>
        </w:tc>
        <w:tc>
          <w:tcPr>
            <w:tcW w:w="698" w:type="pct"/>
            <w:vAlign w:val="center"/>
          </w:tcPr>
          <w:p w14:paraId="6BA86771">
            <w:pPr>
              <w:rPr>
                <w:rFonts w:ascii="宋体" w:hAnsi="宋体" w:eastAsia="宋体" w:cs="Times New Roman"/>
                <w:sz w:val="24"/>
                <w:szCs w:val="24"/>
              </w:rPr>
            </w:pPr>
          </w:p>
        </w:tc>
      </w:tr>
      <w:tr w14:paraId="5572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73" w:type="pct"/>
            <w:vAlign w:val="center"/>
          </w:tcPr>
          <w:p w14:paraId="1CF4EEF5">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763" w:type="pct"/>
            <w:vAlign w:val="center"/>
          </w:tcPr>
          <w:p w14:paraId="0B582C0E">
            <w:pPr>
              <w:widowControl/>
              <w:rPr>
                <w:rFonts w:ascii="宋体" w:hAnsi="宋体" w:eastAsia="宋体" w:cs="宋体"/>
                <w:kern w:val="0"/>
                <w:sz w:val="24"/>
                <w:szCs w:val="24"/>
              </w:rPr>
            </w:pPr>
            <w:r>
              <w:rPr>
                <w:rFonts w:hint="eastAsia" w:ascii="宋体" w:hAnsi="宋体" w:eastAsia="宋体" w:cs="Times New Roman"/>
                <w:sz w:val="24"/>
                <w:szCs w:val="24"/>
              </w:rPr>
              <w:t>……</w:t>
            </w:r>
          </w:p>
        </w:tc>
        <w:tc>
          <w:tcPr>
            <w:tcW w:w="1852" w:type="pct"/>
            <w:vAlign w:val="center"/>
          </w:tcPr>
          <w:p w14:paraId="284C01F4">
            <w:pPr>
              <w:rPr>
                <w:rFonts w:ascii="宋体" w:hAnsi="宋体" w:eastAsia="宋体" w:cs="Times New Roman"/>
                <w:sz w:val="24"/>
                <w:szCs w:val="24"/>
              </w:rPr>
            </w:pPr>
          </w:p>
        </w:tc>
        <w:tc>
          <w:tcPr>
            <w:tcW w:w="276" w:type="pct"/>
            <w:vAlign w:val="center"/>
          </w:tcPr>
          <w:p w14:paraId="0955AA7C">
            <w:pPr>
              <w:rPr>
                <w:rFonts w:ascii="宋体" w:hAnsi="宋体" w:eastAsia="宋体" w:cs="Times New Roman"/>
                <w:sz w:val="24"/>
                <w:szCs w:val="24"/>
              </w:rPr>
            </w:pPr>
          </w:p>
        </w:tc>
        <w:tc>
          <w:tcPr>
            <w:tcW w:w="158" w:type="pct"/>
            <w:vAlign w:val="center"/>
          </w:tcPr>
          <w:p w14:paraId="399821BF">
            <w:pPr>
              <w:rPr>
                <w:rFonts w:ascii="宋体" w:hAnsi="宋体" w:eastAsia="宋体" w:cs="Times New Roman"/>
                <w:sz w:val="24"/>
                <w:szCs w:val="24"/>
              </w:rPr>
            </w:pPr>
          </w:p>
        </w:tc>
        <w:tc>
          <w:tcPr>
            <w:tcW w:w="780" w:type="pct"/>
            <w:vAlign w:val="center"/>
          </w:tcPr>
          <w:p w14:paraId="5E0C7FA8">
            <w:pPr>
              <w:jc w:val="center"/>
              <w:rPr>
                <w:rFonts w:ascii="宋体" w:hAnsi="宋体" w:eastAsia="宋体" w:cs="Times New Roman"/>
                <w:sz w:val="24"/>
                <w:szCs w:val="24"/>
              </w:rPr>
            </w:pPr>
          </w:p>
        </w:tc>
        <w:tc>
          <w:tcPr>
            <w:tcW w:w="698" w:type="pct"/>
            <w:vAlign w:val="center"/>
          </w:tcPr>
          <w:p w14:paraId="1CF68B0A">
            <w:pPr>
              <w:rPr>
                <w:rFonts w:ascii="宋体" w:hAnsi="宋体" w:eastAsia="宋体" w:cs="Times New Roman"/>
                <w:sz w:val="24"/>
                <w:szCs w:val="24"/>
              </w:rPr>
            </w:pPr>
          </w:p>
        </w:tc>
      </w:tr>
    </w:tbl>
    <w:p w14:paraId="24788449">
      <w:pPr>
        <w:spacing w:line="360" w:lineRule="auto"/>
        <w:ind w:firstLine="480" w:firstLineChars="200"/>
        <w:rPr>
          <w:rFonts w:ascii="宋体" w:hAnsi="宋体" w:eastAsia="宋体" w:cs="Times New Roman"/>
          <w:sz w:val="24"/>
          <w:szCs w:val="24"/>
          <w:highlight w:val="yellow"/>
        </w:rPr>
      </w:pPr>
      <w:r>
        <w:rPr>
          <w:rFonts w:hint="eastAsia" w:ascii="宋体" w:hAnsi="宋体" w:eastAsia="宋体" w:cs="Times New Roman"/>
          <w:sz w:val="24"/>
          <w:szCs w:val="24"/>
          <w:highlight w:val="yellow"/>
        </w:rPr>
        <w:t>验收标准：</w:t>
      </w:r>
    </w:p>
    <w:p w14:paraId="4327707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highlight w:val="yellow"/>
        </w:rPr>
        <w:t>抽验比例标准；逐条参数验收；有权委托第三方检验机构进行检验，特殊情况以合同为准</w:t>
      </w:r>
    </w:p>
    <w:p w14:paraId="4231B19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0000000000000000000"/>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17579"/>
    <w:multiLevelType w:val="singleLevel"/>
    <w:tmpl w:val="C891757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D7DDE"/>
    <w:rsid w:val="05BD7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2024-12-05T01:28:00Z</dcterms:created>
  <dc:creator>ditto</dc:creator>
  <cp:lastModifiedBy>ditto</cp:lastModifiedBy>
  <dcterms:modified xsi:type="dcterms:W3CDTF">2024-12-05T01:28:34Z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1F447C3E76D549F9A3127F86DEAE1F5D_11</vt:lpwstr>
  </property>
</Properties>
</file>