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天津市第二人民医院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贯彻落实新时期我国卫生与健康工作方针，坚持公益性，保障人民群众健康，推动医院各方面工作健康发展；为人民群众提供医疗保健、疾病预防、健康教育、健康科普等医疗和一定的公共卫生服务；承担院校医学教育、毕业后医学教育（含住院医师规范化培训、专科医师规范化培训）和继续医学教育，不断提升医学人才能力素质和工作水平；开展临床医学和基础医学研究，推动医学科技成果转化；按照举办主体和有关部门批准的范围开展对外技术交流和国际合作；按照举办主体和有关部门批准的范围开展涉外医疗服务，承担重大活动医疗保障任务，承担突发公共事件的医疗卫生救助；根据规划和需求，经举办主体和有关部门批准，可与社会力量合作举办新的非营利性医疗机构或在人才、管理、服务、技术、品牌等方面建立协议合作关系；经举办主体和有关部门批准，与相关医疗机构组成医联体或医共体，推动形成基层首诊、双向转诊、急慢分治、上下联动的分级诊疗模式；开展援疆援藏、对口帮扶、送医下乡等健康扶贫和志愿者服务工作；承担上级党委和政府交办的其他事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天津市第二人民医院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天津市第二人民医院。</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天津市第二人民医院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85417574.76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317091914.48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410857618.33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10358960.51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412868449.75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411107618.33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1164222.32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19588261.93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22513315.67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19588261.93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433620934.00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433620934.00</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412868449.75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85417574.76</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317091914.48</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10358960.51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412618449.75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85167574.76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317091914.48</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10358960.51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381969074.99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54518200.00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317091914.48</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10358960.51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381969074.99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54518200.00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317091914.48</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10358960.51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27915974.76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27915974.76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17195974.76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17195974.76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4020000.00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4020000.00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2668400.00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2668400.00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1817400.00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1817400.00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天津市第二人民医院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433620934.00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412868449.75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85417574.76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317091914.48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10358960.51</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368211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天津市第二人民医院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433620934.00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412868449.75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85417574.76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317091914.48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10358960.51</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天津市第二人民医院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20752484.25</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20752484.25</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20752484.25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368211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天津市第二人民医院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20752484.25</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20752484.25</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20752484.25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411107618.33</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200237790.43</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210869827.90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410857618.33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200237790.43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210619827.90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380208243.57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197569390.43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182638853.14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传染病医院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380208243.57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197569390.43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182638853.14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27915974.76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27915974.76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基本公共卫生服务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17195974.76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17195974.76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其他公共卫生支出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4020000.00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4020000.00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2668400.00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2668400.00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1817400.00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1817400.00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中医药事务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中医（民族医）药专项</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85417574.76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85167574.76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85167574.76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85417574.76</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85417574.76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85417574.76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85417574.76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85417574.76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85417574.76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天津市第二人民医院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85417574.76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32015400.00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31493400.00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522000.00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53402174.76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85167574.76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32015400.00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31493400.00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522000.00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53152174.76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54518200.00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29347000.00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28825000.00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522000.00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25171200.00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传染病医院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54518200.00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29347000.00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28825000.00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522000.00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25171200.00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27915974.76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27915974.76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基本公共卫生服务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17195974.76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17195974.76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其他公共卫生支出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4020000.00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4020000.00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1817400.00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1817400.00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1817400.00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中医药事务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中医（民族医）药专项</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28638000.00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18314000.00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1733000.00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2855400.00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2097000.00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544400.00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31493400.00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522000.00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天津市第二人民医院2025年度政府性基金预算财政拨款收入支出决算表为空表。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天津市第二人民医院2025年度国有资本经营预算财政拨款收入支出决算表为空表。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天津市第二人民医院2025年财政拨款“三公”经费支出决算表为空表。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天津市第二人民医院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210869827.90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53402174.76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157467653.14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第二批卫生健康行业高层次人才选拔培养工程第一年度资助经费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210619827.90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53152174.76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157467653.14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182638853.14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25171200.00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157467653.14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182638853.14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25171200.00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157467653.14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传染病实验室检测质量提升-01直达资金-2024年医疗服务与保障能力提升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承担公共卫生服务任务公立医院人员补贴（2025年市级）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18999000.00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18999000.00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传染病监测预警与应急指挥能力提升（传染病四大症候群监测）——2025年中央医疗服务与保障能力提升（机构和人才）（第二批）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传染病实验室检测质量提升（2025年中央医疗服务与保障能力提升）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第二批患者救治费用（2025市级）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患者救治费用(2025年市级）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紧缺人才培训（儿科医师转岗培训）（2025年中央医疗服务与保障能力提升）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市第二人民医院检查及救治设施设备配置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361000.00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361000.00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自有收入-药品耗材及资产购置（2025年）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153118278.86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153118278.86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自有收入-工程建设信息化及其他（2025年）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科教项目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3209374.28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3209374.28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27915974.76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27915974.76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基本公共卫生服务-新划入项目-流感、人禽流感及SARS防控、手足口、布病、出血热、疟疾及寄生虫等重点传染病（2025年）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17195974.76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17195974.76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艾滋病防治（疾控）（2024年中央重大传染病防控经费）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669200.00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669200.00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艾滋病防治（疾控）（2024年中央重大传染病防控经费-第二批）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重点传染病及健康危害因素监测（新冠变异监测（本土变异监测））（2024年中央重大传染病防控经费）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艾滋病防治（疾控）（2025年第二批重大公共卫生服务）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4674761.00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4674761.00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艾滋病防治（卫健）（2025年中央重大公共卫生服务）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11430.00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11430.00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艾滋病防治（疾控）（2025年中央重大公共卫生服务）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5649583.76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5649583.76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扩大国家免疫规划（2025年第二批重大公共卫生服务）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扩大国家免疫规划（2025年中央重大公共卫生服务）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能力提升(2025年中央重大公共卫生服务）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重点传染病及健康危害因素监测（麻风病监测）(2025年中央重大公共卫生服务）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重点传染病及健康危害因素监测（细菌性传染病监测（国家致病菌识别网））（2025年中央重大公共卫生服务）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重点传染病及健康危害因素监测（新冠变异监测（本土变异监测））（2025年中央重大公共卫生服务）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承担公共卫生服务任务公立医院项目经费（2025年市级）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433,620,934.00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减少33,682,336.47元，下降7.21%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医疗业务活动收入较上年减少、业务支出较上年减少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一般公共预算财政拨款收入85,417,574.76元、事业收入317,091,914.48元、其他收入10,358,960.51元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社会保障和就业支出250,000.00元、卫生健康支出410,857,618.33元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天津市第二人民医院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412,868,449.75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减少37,003,649.23元，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医疗业务活动收入较上年减少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一般公共预算财政拨款收入85,417,574.76元，占20.69%；事业收入317,091,914.48元，占76.80%；其他收入10,358,960.51元，占2.51%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天津市第二人民医院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411,107,618.33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减少36,607,390.21元，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业务支出较上年减少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基本支出200,237,790.43元，占48.71%；项目支出210,869,827.90元，占51.29%</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85,417,574.76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增加11,273,323.99元，增长15.20%，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财政基本拨款较上年增加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一般公共预算财政拨款85,417,574.76元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社会保障和就业支出250,000.00元、卫生健康支出85,167,574.76元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天津市第二人民医院2025年度一般公共预算财政拨款支出合计85,417,574.76元，占本年支出合计的20.78%。与2024年度相比，一般公共预算财政拨款支出</w:t>
      </w:r>
      <w:r>
        <w:rPr>
          <w:rFonts w:eastAsia="仿宋_GB2312" w:hint="eastAsia"/>
          <w:sz w:val="30"/>
          <w:szCs w:val="30"/>
          <w:highlight w:val="none"/>
          <w:lang w:val="en-US" w:eastAsia="zh-CN"/>
        </w:rPr>
        <w:t xml:space="preserve">增加11,273,323.99元</w:t>
      </w:r>
      <w:r>
        <w:rPr>
          <w:rFonts w:eastAsia="仿宋_GB2312" w:hint="eastAsia"/>
          <w:sz w:val="30"/>
          <w:szCs w:val="30"/>
          <w:highlight w:val="none"/>
          <w:lang w:val="en-US" w:eastAsia="zh-CN"/>
        </w:rPr>
        <w:t xml:space="preserve">，增长15.20%</w:t>
      </w:r>
      <w:r>
        <w:rPr>
          <w:rFonts w:eastAsia="仿宋_GB2312" w:hint="eastAsia"/>
          <w:sz w:val="30"/>
          <w:szCs w:val="30"/>
          <w:highlight w:val="none"/>
          <w:lang w:val="en-US" w:eastAsia="zh-CN"/>
        </w:rPr>
        <w:t xml:space="preserve">，主要原因是财政基本拨款较上年增加。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2025年度一般公共预算财政拨款支出85,417,574.76元，主要用于以下方面：</w:t>
      </w:r>
      <w:r>
        <w:rPr>
          <w:rFonts w:eastAsia="仿宋_GB2312" w:hint="eastAsia"/>
          <w:sz w:val="30"/>
          <w:szCs w:val="30"/>
          <w:highlight w:val="none"/>
        </w:rPr>
        <w:t xml:space="preserve">社会保障和就业支出（类）支出250,000.00元，占0.29%，卫生健康支出（类）支出85,167,574.76元，占99.71%</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2025年度一般公共预算财政拨款支出年初预算为84,853,400.00元，支出决算为85,417,574.76元</w:t>
      </w:r>
      <w:r>
        <w:rPr>
          <w:rFonts w:eastAsia="仿宋_GB2312" w:hint="eastAsia"/>
          <w:sz w:val="30"/>
          <w:szCs w:val="30"/>
          <w:highlight w:val="none"/>
          <w:lang w:val="en-US" w:eastAsia="zh-CN"/>
        </w:rPr>
        <w:t xml:space="preserve">，完成年初预算的100.66%</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人力资源和社会保障管理事务（款）引进人才费用（项）年初预算为0.00元，支出决算为250,000.00元，决算数大于年初预算数的主要原因是：中期追加第二批卫生健康行业高层次人才选拔培养工程第一年度资助经费财政项目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卫生健康支出（类）公立医院（款）传染病医院（项）年初预算为58,581,200.00元，支出决算为54,518,200.00元，完成年初预算的93.06%，决算数小于年初预算数的主要原因是：承担公共卫生服务任务公立医院人员补贴（2025年市级）项目资金未足额拨付到位。</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3.卫生健康支出（类）公共卫生（款）基本公共卫生服务（项）年初预算为6,700,000.00元，支出决算为6,700,000.00元，完成年初预算的100.00%，决算数与年初预算数持平的主要原因是：年初预算全部完成。</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公共卫生（款）重大公共卫生服务（项）年初预算为12,883,200.00元，支出决算为17,195,974.76元，完成年初预算的133.48%，决算数大于年初预算数的主要原因是：中期追加艾滋病防治（疾控）（2025年第二批重大公共卫生服务）等财政项目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5.卫生健康支出（类）公共卫生（款）其他公共卫生支出（项）年初预算为4,020,000.00元，支出决算为4,020,000.00元，完成年初预算的100.00%，决算数与年初预算数持平的主要原因是：年初预算全部完成。</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事业单位医疗（项）年初预算为1,753,000.00元，支出决算为1,817,400.00元，完成年初预算的103.67%，决算数大于年初预算数的主要原因是：中期追加2025年离休干部医药费财政基本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其他行政事业单位医疗支出（项）年初预算为851,000.00元，支出决算为851,000.00元，完成年初预算的100.00%，决算数与年初预算数持平的主要原因是：年初预算全部完成。</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8.卫生健康支出（类）中医药事务（款）中医（民族医）药专项（项）年初预算为65,000.00元，支出决算为65,000.00元，完成年初预算的100.00%，决算数与年初预算数持平的主要原因是：年初预算全部完成。</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天津市第二人民医院2025年度一般公共预算财政拨款基本支出合计32,015,400.00元，与2024年度相比</w:t>
      </w:r>
      <w:r>
        <w:rPr>
          <w:rFonts w:eastAsia="仿宋_GB2312" w:hint="eastAsia"/>
          <w:sz w:val="30"/>
          <w:szCs w:val="30"/>
          <w:highlight w:val="none"/>
          <w:lang w:val="en-US" w:eastAsia="zh-CN"/>
        </w:rPr>
        <w:t xml:space="preserve">增加10,679,800.00元，</w:t>
      </w:r>
      <w:r>
        <w:rPr>
          <w:rFonts w:eastAsia="仿宋_GB2312" w:hint="eastAsia"/>
          <w:sz w:val="30"/>
          <w:szCs w:val="30"/>
          <w:highlight w:val="none"/>
          <w:lang w:val="en-US" w:eastAsia="zh-CN"/>
        </w:rPr>
        <w:t xml:space="preserve">主要原因是2025年财政拨款人员经费较上年有所增长。</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人员经费31,493,400.00元，主要包括</w:t>
      </w:r>
      <w:r>
        <w:rPr>
          <w:rFonts w:eastAsia="仿宋_GB2312" w:hint="eastAsia"/>
          <w:sz w:val="30"/>
          <w:szCs w:val="30"/>
          <w:highlight w:val="none"/>
          <w:lang w:val="en-US" w:eastAsia="zh-CN"/>
        </w:rPr>
        <w:t xml:space="preserve">机关事业单位基本养老保险缴费、职业年金缴费、职工基本医疗保险缴费、其他社会保障缴费、医疗费、离休费、退休费、医疗费补助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公用经费522,000.00元，主要包括</w:t>
      </w:r>
      <w:r>
        <w:rPr>
          <w:rFonts w:eastAsia="仿宋_GB2312" w:hint="eastAsia"/>
          <w:sz w:val="30"/>
          <w:szCs w:val="30"/>
          <w:highlight w:val="none"/>
          <w:lang w:val="en-US" w:eastAsia="zh-CN"/>
        </w:rPr>
        <w:t xml:space="preserve">物业管理费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二人民医院2025年政府采购支出总额21,672,859.41元，其中：政府采购货物支出11,933,622.00元、政府采购工程支出0.00元、政府采购服务支出9,739,237.41元。授予中小企业合同金额20,772,859.41元，占政府采购支出总额的95.85%，其中：授予小微企业合同金额17,165,347.41元，占政府采购支出总额的79.20%；货物采购授予中小企业合同金额占货物支出金额的100.00%，工程采购授予中小企业合同金额占工程支出金额的0.00%，服务采购授予中小企业合同金额占服务支出金额的90.76%。</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截至2025年12月31日，天津市第二人民医院共有车辆3辆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其他用车3辆</w:t>
      </w:r>
      <w:r>
        <w:rPr>
          <w:rFonts w:eastAsia="仿宋_GB2312" w:hint="eastAsia"/>
          <w:sz w:val="30"/>
          <w:szCs w:val="30"/>
          <w:highlight w:val="none"/>
          <w:lang w:val="en-US" w:eastAsia="zh-CN"/>
        </w:rPr>
        <w:t xml:space="preserve">，其他用车主要包括其他业务用车</w:t>
      </w:r>
      <w:r>
        <w:rPr>
          <w:rFonts w:eastAsia="仿宋_GB2312" w:hint="eastAsia"/>
          <w:sz w:val="30"/>
          <w:szCs w:val="30"/>
          <w:highlight w:val="none"/>
          <w:lang w:val="en-US" w:eastAsia="zh-CN"/>
        </w:rPr>
        <w:t xml:space="preserve">。单价100万元以上的设备59台（套）。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根据预算绩效管理要求,天津市第二人民医院已对12个2025年度市级项目开展绩效自评,涉及金额299163100元,自评结果已随部门决算一并公开。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天津市第二人民医院不属于乡、镇、街级单位,不涉及公开2025年度教育、医疗卫生、社会保障和就业、住房保障、涉农补贴等民生支出情况。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0D5226B-C629-4314-94CE-D71B21667D54}"/>
    <w:embedBold r:id="rId2" w:subsetted="1" w:fontKey="{70FA7704-DA12-42C7-84C3-31559292A64B}"/>
  </w:font>
  <w:font w:name="Cambria">
    <w:panose1 w:val="02040503050406030204"/>
    <w:charset w:val="00"/>
    <w:family w:val="roman"/>
    <w:pitch w:val="default"/>
    <w:sig w:usb0="E00006FF" w:usb1="420024FF" w:usb2="02000000" w:usb3="00000000" w:csb0="2000019F" w:csb1="00000000"/>
    <w:embedRegular r:id="rId3" w:fontKey="{150F388A-FF60-41C1-BDE2-E285E84D5175}"/>
  </w:font>
  <w:font w:name="Calibri">
    <w:panose1 w:val="020F0502020204030204"/>
    <w:charset w:val="00"/>
    <w:family w:val="swiss"/>
    <w:pitch w:val="default"/>
    <w:sig w:usb0="E4002EFF" w:usb1="C200247B" w:usb2="00000009" w:usb3="00000000" w:csb0="200001FF" w:csb1="00000000"/>
    <w:embedRegular r:id="rId4" w:fontKey="{75A56326-B68A-421E-A21E-0AE82A3489B1}"/>
  </w:font>
  <w:font w:name="黑体">
    <w:panose1 w:val="02010609060101010101"/>
    <w:charset w:val="FFFFFF86"/>
    <w:family w:val="auto"/>
    <w:pitch w:val="default"/>
    <w:sig w:usb0="800002BF" w:usb1="38CF7CFA" w:usb2="00000016" w:usb3="00000000" w:csb0="00040001" w:csb1="00000000"/>
    <w:embedRegular r:id="rId5" w:subsetted="1" w:fontKey="{D3BEB6E5-45A8-4A23-B9D1-39C087A7B630}"/>
    <w:embedBold r:id="rId6" w:subsetted="1" w:fontKey="{FD2F322B-D472-44A0-9500-934A2B9EC535}"/>
  </w:font>
  <w:font w:name="方正小标宋简体">
    <w:altName w:val="黑体"/>
    <w:panose1 w:val="02000000000000000000"/>
    <w:charset w:val="FFFFFF86"/>
    <w:family w:val="auto"/>
    <w:pitch w:val="default"/>
    <w:sig w:usb0="00000001" w:usb1="08000000" w:usb2="00000000" w:usb3="00000000" w:csb0="00040000" w:csb1="00000000"/>
    <w:embedRegular r:id="rId7" w:fontKey="{9B114028-1739-4783-AADC-D74223EF87B0}"/>
    <w:embedBold r:id="rId8" w:fontKey="{F81DC2DB-C83A-4FD8-B254-498F21EB29C1}"/>
  </w:font>
  <w:font w:name="仿宋">
    <w:panose1 w:val="02010609060101010101"/>
    <w:charset w:val="FFFFFF86"/>
    <w:family w:val="auto"/>
    <w:pitch w:val="default"/>
    <w:sig w:usb0="800002BF" w:usb1="38CF7CFA" w:usb2="00000016" w:usb3="00000000" w:csb0="00040001" w:csb1="00000000"/>
    <w:embedRegular r:id="rId9" w:subsetted="1" w:fontKey="{42BA6F06-EEA9-4D69-A266-781307A5BE51}"/>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43B9CBF1-6CC4-476C-A78E-A4E24C1632F6}"/>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F8AF6638-D09D-4AA4-9EE6-FFA7CCFA82DF}"/>
    <w:embedBold r:id="rId12" w:subsetted="1" w:fontKey="{A9E75DEE-1A0F-4171-8A13-DE062CCCD4A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33</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36</Pages>
  <Words>2179</Words>
  <Characters>9250</Characters>
  <Application>WPS Office_12.1.0.28043_F1E327BC-269C-435d-A152-05C5408002CA</Application>
  <DocSecurity>0</DocSecurity>
  <Lines>60</Lines>
  <Paragraphs>16</Paragraphs>
  <ScaleCrop>false</ScaleCrop>
  <Company>Microsoft</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2026-08-24T02:43:28Z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